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2E599" w14:textId="77777777" w:rsidR="000A2CD4" w:rsidRDefault="00000000">
      <w:pPr>
        <w:adjustRightInd w:val="0"/>
        <w:snapToGrid w:val="0"/>
        <w:spacing w:line="360" w:lineRule="auto"/>
        <w:jc w:val="center"/>
        <w:rPr>
          <w:rFonts w:ascii="黑体" w:eastAsia="黑体" w:hAnsi="黑体" w:cs="黑体" w:hint="eastAsia"/>
          <w:bCs/>
          <w:sz w:val="32"/>
          <w:szCs w:val="32"/>
        </w:rPr>
      </w:pPr>
      <w:r>
        <w:rPr>
          <w:rFonts w:ascii="黑体" w:eastAsia="黑体" w:hAnsi="黑体" w:cs="黑体" w:hint="eastAsia"/>
          <w:bCs/>
          <w:sz w:val="32"/>
          <w:szCs w:val="32"/>
        </w:rPr>
        <w:t>《食品机械  特色猪肉蛋白质含量检测装置》编制说明</w:t>
      </w:r>
    </w:p>
    <w:p w14:paraId="332AE05A" w14:textId="77777777" w:rsidR="000A2CD4" w:rsidRDefault="00000000">
      <w:pPr>
        <w:adjustRightInd w:val="0"/>
        <w:snapToGrid w:val="0"/>
        <w:spacing w:line="360" w:lineRule="auto"/>
        <w:jc w:val="center"/>
        <w:rPr>
          <w:rFonts w:ascii="华文中宋" w:eastAsia="华文中宋" w:hAnsi="华文中宋" w:hint="eastAsia"/>
          <w:b/>
          <w:sz w:val="36"/>
          <w:szCs w:val="36"/>
        </w:rPr>
      </w:pPr>
      <w:r>
        <w:rPr>
          <w:rFonts w:ascii="宋体" w:hAnsi="宋体" w:cs="宋体" w:hint="eastAsia"/>
          <w:bCs/>
          <w:sz w:val="28"/>
          <w:szCs w:val="28"/>
        </w:rPr>
        <w:t>（征求意见稿）</w:t>
      </w:r>
    </w:p>
    <w:p w14:paraId="0EEDBA0F" w14:textId="77777777" w:rsidR="000A2CD4" w:rsidRDefault="00000000">
      <w:pPr>
        <w:pStyle w:val="1"/>
        <w:keepNext w:val="0"/>
        <w:keepLines w:val="0"/>
        <w:numPr>
          <w:ilvl w:val="0"/>
          <w:numId w:val="1"/>
        </w:numPr>
        <w:ind w:firstLine="560"/>
        <w:rPr>
          <w:rFonts w:hint="eastAsia"/>
          <w:sz w:val="28"/>
        </w:rPr>
      </w:pPr>
      <w:r>
        <w:rPr>
          <w:rFonts w:hint="eastAsia"/>
          <w:sz w:val="28"/>
        </w:rPr>
        <w:t>工作简况</w:t>
      </w:r>
    </w:p>
    <w:p w14:paraId="5FCADBAE" w14:textId="77777777" w:rsidR="000A2CD4" w:rsidRDefault="00000000">
      <w:pPr>
        <w:spacing w:line="480" w:lineRule="exact"/>
        <w:ind w:firstLineChars="196" w:firstLine="470"/>
        <w:rPr>
          <w:rFonts w:eastAsia="黑体"/>
          <w:sz w:val="24"/>
        </w:rPr>
      </w:pPr>
      <w:r>
        <w:rPr>
          <w:rFonts w:eastAsia="黑体"/>
          <w:sz w:val="24"/>
        </w:rPr>
        <w:t>（一）任务来源</w:t>
      </w:r>
    </w:p>
    <w:p w14:paraId="0BA41279" w14:textId="77777777" w:rsidR="000A2CD4" w:rsidRDefault="00000000">
      <w:pPr>
        <w:widowControl/>
        <w:spacing w:line="480" w:lineRule="exact"/>
        <w:ind w:firstLineChars="200" w:firstLine="480"/>
        <w:outlineLvl w:val="3"/>
        <w:rPr>
          <w:bCs/>
          <w:kern w:val="0"/>
          <w:sz w:val="24"/>
        </w:rPr>
      </w:pPr>
      <w:r>
        <w:rPr>
          <w:kern w:val="0"/>
          <w:sz w:val="24"/>
        </w:rPr>
        <w:t>本</w:t>
      </w:r>
      <w:r>
        <w:rPr>
          <w:bCs/>
          <w:kern w:val="0"/>
          <w:sz w:val="24"/>
        </w:rPr>
        <w:t>项目是根据中国机械工程学会团体标准制修订计划进行制定，项目名称</w:t>
      </w:r>
      <w:r>
        <w:rPr>
          <w:rFonts w:hint="eastAsia"/>
          <w:bCs/>
          <w:kern w:val="0"/>
          <w:sz w:val="24"/>
        </w:rPr>
        <w:t>《食品机械</w:t>
      </w:r>
      <w:r>
        <w:rPr>
          <w:rFonts w:hint="eastAsia"/>
          <w:bCs/>
          <w:kern w:val="0"/>
          <w:sz w:val="24"/>
        </w:rPr>
        <w:t xml:space="preserve">  </w:t>
      </w:r>
      <w:r>
        <w:rPr>
          <w:rFonts w:hint="eastAsia"/>
          <w:bCs/>
          <w:kern w:val="0"/>
          <w:sz w:val="24"/>
        </w:rPr>
        <w:t>特色猪肉蛋白质含量检测装置》</w:t>
      </w:r>
      <w:r>
        <w:rPr>
          <w:bCs/>
          <w:kern w:val="0"/>
          <w:sz w:val="24"/>
        </w:rPr>
        <w:t>，标准起草单位为中国农业大学。计划应完成时间为</w:t>
      </w:r>
      <w:r>
        <w:rPr>
          <w:bCs/>
          <w:kern w:val="0"/>
          <w:sz w:val="24"/>
        </w:rPr>
        <w:t>202</w:t>
      </w:r>
      <w:r>
        <w:rPr>
          <w:rFonts w:hint="eastAsia"/>
          <w:bCs/>
          <w:kern w:val="0"/>
          <w:sz w:val="24"/>
        </w:rPr>
        <w:t>5</w:t>
      </w:r>
      <w:r>
        <w:rPr>
          <w:bCs/>
          <w:kern w:val="0"/>
          <w:sz w:val="24"/>
        </w:rPr>
        <w:t>年。</w:t>
      </w:r>
    </w:p>
    <w:p w14:paraId="7F334B2D" w14:textId="77777777" w:rsidR="000A2CD4" w:rsidRDefault="00000000">
      <w:pPr>
        <w:spacing w:line="480" w:lineRule="exact"/>
        <w:ind w:firstLineChars="196" w:firstLine="470"/>
        <w:rPr>
          <w:rFonts w:eastAsia="黑体"/>
          <w:sz w:val="24"/>
        </w:rPr>
      </w:pPr>
      <w:r>
        <w:rPr>
          <w:rFonts w:eastAsia="黑体"/>
          <w:sz w:val="24"/>
        </w:rPr>
        <w:t>（二）主要工作过程</w:t>
      </w:r>
    </w:p>
    <w:p w14:paraId="0F1CAD3C" w14:textId="77777777" w:rsidR="000A2CD4" w:rsidRDefault="00000000">
      <w:pPr>
        <w:spacing w:line="480" w:lineRule="exact"/>
        <w:ind w:firstLineChars="200" w:firstLine="480"/>
        <w:rPr>
          <w:kern w:val="0"/>
          <w:sz w:val="24"/>
        </w:rPr>
      </w:pPr>
      <w:r>
        <w:rPr>
          <w:kern w:val="0"/>
          <w:sz w:val="24"/>
        </w:rPr>
        <w:t>1</w:t>
      </w:r>
      <w:r>
        <w:rPr>
          <w:kern w:val="0"/>
          <w:sz w:val="24"/>
        </w:rPr>
        <w:t>、起草阶段：计划下达后，</w:t>
      </w:r>
      <w:r>
        <w:rPr>
          <w:kern w:val="0"/>
          <w:sz w:val="24"/>
        </w:rPr>
        <w:t>202</w:t>
      </w:r>
      <w:r>
        <w:rPr>
          <w:rFonts w:hint="eastAsia"/>
          <w:kern w:val="0"/>
          <w:sz w:val="24"/>
        </w:rPr>
        <w:t>5</w:t>
      </w:r>
      <w:r>
        <w:rPr>
          <w:kern w:val="0"/>
          <w:sz w:val="24"/>
        </w:rPr>
        <w:t>年</w:t>
      </w:r>
      <w:r>
        <w:rPr>
          <w:rFonts w:hint="eastAsia"/>
          <w:kern w:val="0"/>
          <w:sz w:val="24"/>
        </w:rPr>
        <w:t>4</w:t>
      </w:r>
      <w:r>
        <w:rPr>
          <w:kern w:val="0"/>
          <w:sz w:val="24"/>
        </w:rPr>
        <w:t>月</w:t>
      </w:r>
      <w:r>
        <w:rPr>
          <w:rFonts w:hint="eastAsia"/>
          <w:kern w:val="0"/>
          <w:sz w:val="24"/>
        </w:rPr>
        <w:t>3</w:t>
      </w:r>
      <w:r>
        <w:rPr>
          <w:kern w:val="0"/>
          <w:sz w:val="24"/>
        </w:rPr>
        <w:t>日中国</w:t>
      </w:r>
      <w:r>
        <w:rPr>
          <w:sz w:val="24"/>
        </w:rPr>
        <w:t>机械工程学会包装与食品工程分会</w:t>
      </w:r>
      <w:r>
        <w:rPr>
          <w:kern w:val="0"/>
          <w:sz w:val="24"/>
        </w:rPr>
        <w:t>组织各起草单位，成立了标准起草工作组，确定了工作方案，提出进度安排；经研究分析、资料查证，于</w:t>
      </w:r>
      <w:r>
        <w:rPr>
          <w:kern w:val="0"/>
          <w:sz w:val="24"/>
        </w:rPr>
        <w:t>202</w:t>
      </w:r>
      <w:r>
        <w:rPr>
          <w:rFonts w:hint="eastAsia"/>
          <w:kern w:val="0"/>
          <w:sz w:val="24"/>
        </w:rPr>
        <w:t>5</w:t>
      </w:r>
      <w:r>
        <w:rPr>
          <w:kern w:val="0"/>
          <w:sz w:val="24"/>
        </w:rPr>
        <w:t>年</w:t>
      </w:r>
      <w:r>
        <w:rPr>
          <w:rFonts w:hint="eastAsia"/>
          <w:kern w:val="0"/>
          <w:sz w:val="24"/>
        </w:rPr>
        <w:t>4</w:t>
      </w:r>
      <w:r>
        <w:rPr>
          <w:kern w:val="0"/>
          <w:sz w:val="24"/>
        </w:rPr>
        <w:t>月</w:t>
      </w:r>
      <w:r>
        <w:rPr>
          <w:rFonts w:hint="eastAsia"/>
          <w:kern w:val="0"/>
          <w:sz w:val="24"/>
        </w:rPr>
        <w:t>24</w:t>
      </w:r>
      <w:r>
        <w:rPr>
          <w:kern w:val="0"/>
          <w:sz w:val="24"/>
        </w:rPr>
        <w:t>日完成标准草案初稿，经多次研讨和认真修改，于</w:t>
      </w:r>
      <w:r>
        <w:rPr>
          <w:kern w:val="0"/>
          <w:sz w:val="24"/>
        </w:rPr>
        <w:t>2025</w:t>
      </w:r>
      <w:r>
        <w:rPr>
          <w:kern w:val="0"/>
          <w:sz w:val="24"/>
        </w:rPr>
        <w:t>年</w:t>
      </w:r>
      <w:r>
        <w:rPr>
          <w:kern w:val="0"/>
          <w:sz w:val="24"/>
        </w:rPr>
        <w:t>5</w:t>
      </w:r>
      <w:r>
        <w:rPr>
          <w:kern w:val="0"/>
          <w:sz w:val="24"/>
        </w:rPr>
        <w:t>月</w:t>
      </w:r>
      <w:r>
        <w:rPr>
          <w:kern w:val="0"/>
          <w:sz w:val="24"/>
        </w:rPr>
        <w:t>12</w:t>
      </w:r>
      <w:r>
        <w:rPr>
          <w:kern w:val="0"/>
          <w:sz w:val="24"/>
        </w:rPr>
        <w:t>日形成征求意见稿，经组长审核后报至秘书处。</w:t>
      </w:r>
    </w:p>
    <w:p w14:paraId="200929A2" w14:textId="77777777" w:rsidR="000A2CD4" w:rsidRDefault="00000000">
      <w:pPr>
        <w:spacing w:line="460" w:lineRule="exact"/>
        <w:ind w:firstLineChars="200" w:firstLine="480"/>
        <w:rPr>
          <w:sz w:val="24"/>
        </w:rPr>
      </w:pPr>
      <w:r>
        <w:rPr>
          <w:sz w:val="24"/>
        </w:rPr>
        <w:t>2</w:t>
      </w:r>
      <w:r>
        <w:rPr>
          <w:sz w:val="24"/>
        </w:rPr>
        <w:t>、征求意见阶段：</w:t>
      </w:r>
    </w:p>
    <w:p w14:paraId="4BA58060" w14:textId="77777777" w:rsidR="000A2CD4" w:rsidRDefault="00000000">
      <w:pPr>
        <w:adjustRightInd w:val="0"/>
        <w:snapToGrid w:val="0"/>
        <w:spacing w:line="480" w:lineRule="exact"/>
        <w:ind w:firstLineChars="200" w:firstLine="480"/>
        <w:rPr>
          <w:rFonts w:ascii="宋体" w:hAnsi="宋体" w:cs="宋体" w:hint="eastAsia"/>
          <w:kern w:val="0"/>
          <w:sz w:val="24"/>
        </w:rPr>
      </w:pPr>
      <w:r>
        <w:rPr>
          <w:kern w:val="0"/>
          <w:sz w:val="24"/>
        </w:rPr>
        <w:t>3</w:t>
      </w:r>
      <w:r>
        <w:rPr>
          <w:kern w:val="0"/>
          <w:sz w:val="24"/>
        </w:rPr>
        <w:t>、审查阶段：</w:t>
      </w:r>
    </w:p>
    <w:p w14:paraId="2C62C513" w14:textId="77777777" w:rsidR="000A2CD4" w:rsidRDefault="00000000">
      <w:pPr>
        <w:adjustRightInd w:val="0"/>
        <w:snapToGrid w:val="0"/>
        <w:spacing w:line="480" w:lineRule="exact"/>
        <w:ind w:firstLineChars="200" w:firstLine="480"/>
        <w:rPr>
          <w:rFonts w:ascii="宋体" w:hAnsi="宋体" w:hint="eastAsia"/>
          <w:sz w:val="24"/>
        </w:rPr>
      </w:pPr>
      <w:r>
        <w:rPr>
          <w:rFonts w:ascii="宋体" w:hAnsi="宋体" w:hint="eastAsia"/>
          <w:sz w:val="24"/>
        </w:rPr>
        <w:t>4、报批阶段：</w:t>
      </w:r>
    </w:p>
    <w:p w14:paraId="00C4AB50" w14:textId="77777777" w:rsidR="000A2CD4" w:rsidRDefault="00000000">
      <w:pPr>
        <w:spacing w:line="480" w:lineRule="exact"/>
        <w:ind w:firstLineChars="196" w:firstLine="470"/>
        <w:rPr>
          <w:rFonts w:eastAsia="黑体"/>
          <w:sz w:val="24"/>
        </w:rPr>
      </w:pPr>
      <w:r>
        <w:rPr>
          <w:rFonts w:eastAsia="黑体"/>
          <w:sz w:val="24"/>
        </w:rPr>
        <w:t>（三）主要参加单位和工作组成员及其所做的工作</w:t>
      </w:r>
    </w:p>
    <w:p w14:paraId="1DE5CB4B" w14:textId="7A0CA837" w:rsidR="000A2CD4" w:rsidRDefault="00000000">
      <w:pPr>
        <w:spacing w:line="480" w:lineRule="exact"/>
        <w:ind w:firstLineChars="200" w:firstLine="480"/>
        <w:rPr>
          <w:kern w:val="0"/>
          <w:sz w:val="24"/>
        </w:rPr>
      </w:pPr>
      <w:r>
        <w:rPr>
          <w:sz w:val="24"/>
        </w:rPr>
        <w:t>1</w:t>
      </w:r>
      <w:r>
        <w:rPr>
          <w:sz w:val="24"/>
        </w:rPr>
        <w:t>、标准起草单位</w:t>
      </w:r>
      <w:r>
        <w:rPr>
          <w:kern w:val="0"/>
          <w:sz w:val="24"/>
        </w:rPr>
        <w:t>为中国农业大学</w:t>
      </w:r>
      <w:r w:rsidR="007E1303">
        <w:rPr>
          <w:rFonts w:hint="eastAsia"/>
          <w:kern w:val="0"/>
          <w:sz w:val="24"/>
        </w:rPr>
        <w:t>等</w:t>
      </w:r>
      <w:r>
        <w:rPr>
          <w:kern w:val="0"/>
          <w:sz w:val="24"/>
        </w:rPr>
        <w:t>。</w:t>
      </w:r>
    </w:p>
    <w:p w14:paraId="2CD52EAA" w14:textId="77777777" w:rsidR="000A2CD4" w:rsidRDefault="00000000">
      <w:pPr>
        <w:spacing w:line="480" w:lineRule="exact"/>
        <w:ind w:firstLineChars="200" w:firstLine="480"/>
        <w:rPr>
          <w:kern w:val="0"/>
          <w:sz w:val="24"/>
        </w:rPr>
      </w:pPr>
      <w:r>
        <w:rPr>
          <w:kern w:val="0"/>
          <w:sz w:val="24"/>
        </w:rPr>
        <w:t>2</w:t>
      </w:r>
      <w:r>
        <w:rPr>
          <w:kern w:val="0"/>
          <w:sz w:val="24"/>
        </w:rPr>
        <w:t>、主要成员：</w:t>
      </w:r>
    </w:p>
    <w:p w14:paraId="6AB2E4C0" w14:textId="77777777" w:rsidR="000A2CD4" w:rsidRDefault="00000000">
      <w:pPr>
        <w:spacing w:line="480" w:lineRule="exact"/>
        <w:ind w:firstLineChars="200" w:firstLine="480"/>
        <w:rPr>
          <w:rFonts w:eastAsia="黑体"/>
          <w:kern w:val="0"/>
          <w:sz w:val="24"/>
        </w:rPr>
      </w:pPr>
      <w:r>
        <w:rPr>
          <w:kern w:val="0"/>
          <w:sz w:val="24"/>
        </w:rPr>
        <w:t>3</w:t>
      </w:r>
      <w:r>
        <w:rPr>
          <w:kern w:val="0"/>
          <w:sz w:val="24"/>
        </w:rPr>
        <w:t>、所做的工作：</w:t>
      </w:r>
    </w:p>
    <w:p w14:paraId="65DCBDE5" w14:textId="77777777" w:rsidR="000A2CD4" w:rsidRDefault="00000000">
      <w:pPr>
        <w:pStyle w:val="1"/>
        <w:keepNext w:val="0"/>
        <w:keepLines w:val="0"/>
        <w:ind w:firstLine="560"/>
        <w:rPr>
          <w:rFonts w:hint="eastAsia"/>
          <w:sz w:val="28"/>
        </w:rPr>
      </w:pPr>
      <w:r>
        <w:rPr>
          <w:sz w:val="28"/>
        </w:rPr>
        <w:t>二、标准编制原则和主要内容</w:t>
      </w:r>
    </w:p>
    <w:p w14:paraId="606DDF0B" w14:textId="77777777" w:rsidR="000A2CD4" w:rsidRDefault="00000000">
      <w:pPr>
        <w:pStyle w:val="2"/>
        <w:keepNext w:val="0"/>
        <w:keepLines w:val="0"/>
        <w:ind w:firstLine="480"/>
        <w:rPr>
          <w:rFonts w:ascii="Times New Roman" w:eastAsia="黑体" w:hAnsi="Times New Roman"/>
          <w:b w:val="0"/>
          <w:bCs w:val="0"/>
          <w:sz w:val="24"/>
          <w:szCs w:val="24"/>
        </w:rPr>
      </w:pPr>
      <w:r>
        <w:rPr>
          <w:rFonts w:ascii="Times New Roman" w:eastAsia="黑体" w:hAnsi="Times New Roman"/>
          <w:b w:val="0"/>
          <w:bCs w:val="0"/>
          <w:sz w:val="24"/>
          <w:szCs w:val="24"/>
        </w:rPr>
        <w:t>（一）</w:t>
      </w:r>
      <w:r>
        <w:rPr>
          <w:rFonts w:ascii="Times New Roman" w:eastAsia="黑体" w:hAnsi="Times New Roman" w:hint="eastAsia"/>
          <w:b w:val="0"/>
          <w:bCs w:val="0"/>
          <w:sz w:val="24"/>
          <w:szCs w:val="24"/>
        </w:rPr>
        <w:t>编制原则</w:t>
      </w:r>
    </w:p>
    <w:p w14:paraId="72129591" w14:textId="77777777" w:rsidR="000A2CD4" w:rsidRDefault="00000000">
      <w:pPr>
        <w:spacing w:line="360" w:lineRule="auto"/>
        <w:ind w:firstLine="420"/>
        <w:rPr>
          <w:sz w:val="24"/>
        </w:rPr>
      </w:pPr>
      <w:r>
        <w:rPr>
          <w:rFonts w:hint="eastAsia"/>
          <w:sz w:val="24"/>
        </w:rPr>
        <w:t>标准编制遵循“面向市场、服务产业、自主制定、适时推出、及时修订、不断完善”的原则以及“产业发展、市场需求、重点突出、成套成体系”等立项原则，并与技术创新、试验验证、产业推进、应用推广相结合。</w:t>
      </w:r>
    </w:p>
    <w:p w14:paraId="4E00BD15" w14:textId="77777777" w:rsidR="000A2CD4" w:rsidRDefault="00000000">
      <w:pPr>
        <w:pStyle w:val="2"/>
        <w:keepNext w:val="0"/>
        <w:keepLines w:val="0"/>
        <w:ind w:firstLine="480"/>
        <w:rPr>
          <w:rFonts w:ascii="Times New Roman" w:eastAsia="黑体" w:hAnsi="Times New Roman"/>
          <w:b w:val="0"/>
          <w:bCs w:val="0"/>
          <w:sz w:val="24"/>
          <w:szCs w:val="24"/>
        </w:rPr>
      </w:pPr>
      <w:r>
        <w:rPr>
          <w:rFonts w:ascii="Times New Roman" w:eastAsia="黑体" w:hAnsi="Times New Roman"/>
          <w:b w:val="0"/>
          <w:bCs w:val="0"/>
          <w:sz w:val="24"/>
          <w:szCs w:val="24"/>
        </w:rPr>
        <w:t>（二）</w:t>
      </w:r>
      <w:r>
        <w:rPr>
          <w:rFonts w:ascii="Times New Roman" w:eastAsia="黑体" w:hAnsi="Times New Roman" w:hint="eastAsia"/>
          <w:b w:val="0"/>
          <w:bCs w:val="0"/>
          <w:sz w:val="24"/>
          <w:szCs w:val="24"/>
        </w:rPr>
        <w:t>主要内容</w:t>
      </w:r>
    </w:p>
    <w:p w14:paraId="47A315B6" w14:textId="77777777" w:rsidR="000A2CD4" w:rsidRDefault="00000000">
      <w:pPr>
        <w:widowControl/>
        <w:numPr>
          <w:ilvl w:val="1"/>
          <w:numId w:val="0"/>
        </w:numPr>
        <w:spacing w:line="360" w:lineRule="auto"/>
        <w:ind w:firstLineChars="200" w:firstLine="480"/>
        <w:outlineLvl w:val="0"/>
        <w:rPr>
          <w:rFonts w:eastAsia="黑体" w:cs="黑体"/>
          <w:kern w:val="0"/>
          <w:sz w:val="24"/>
        </w:rPr>
      </w:pPr>
      <w:bookmarkStart w:id="0" w:name="_Toc196386085"/>
      <w:r>
        <w:rPr>
          <w:rFonts w:ascii="黑体" w:eastAsia="黑体" w:cs="黑体" w:hint="eastAsia"/>
          <w:kern w:val="0"/>
          <w:sz w:val="24"/>
        </w:rPr>
        <w:t>1、</w:t>
      </w:r>
      <w:r>
        <w:rPr>
          <w:rFonts w:eastAsia="黑体" w:cs="黑体" w:hint="eastAsia"/>
          <w:kern w:val="0"/>
          <w:sz w:val="24"/>
        </w:rPr>
        <w:t>范围</w:t>
      </w:r>
      <w:bookmarkEnd w:id="0"/>
      <w:r>
        <w:rPr>
          <w:rFonts w:eastAsia="黑体" w:cs="黑体" w:hint="eastAsia"/>
          <w:kern w:val="0"/>
          <w:sz w:val="24"/>
        </w:rPr>
        <w:t>说明</w:t>
      </w:r>
    </w:p>
    <w:p w14:paraId="1EC68052" w14:textId="77777777" w:rsidR="000A2CD4" w:rsidRDefault="00000000">
      <w:pPr>
        <w:pStyle w:val="af1"/>
        <w:ind w:firstLine="480"/>
        <w:rPr>
          <w:rFonts w:ascii="Times New Roman"/>
          <w:kern w:val="2"/>
          <w:sz w:val="24"/>
          <w:szCs w:val="24"/>
        </w:rPr>
      </w:pPr>
      <w:bookmarkStart w:id="1" w:name="_Toc72158482"/>
      <w:bookmarkStart w:id="2" w:name="_Toc196386086"/>
      <w:bookmarkEnd w:id="1"/>
      <w:r>
        <w:rPr>
          <w:rFonts w:ascii="Times New Roman" w:hint="eastAsia"/>
          <w:kern w:val="2"/>
          <w:sz w:val="24"/>
          <w:szCs w:val="24"/>
        </w:rPr>
        <w:lastRenderedPageBreak/>
        <w:t>本标准界定了特色猪肉蛋白质含量检测装置的术语和定义，规定了技术要求，描述了相应的试验方法，规定了检验规则、标志、包装、运输和贮存要求。</w:t>
      </w:r>
    </w:p>
    <w:p w14:paraId="6232F023" w14:textId="77777777" w:rsidR="000A2CD4" w:rsidRDefault="00000000">
      <w:pPr>
        <w:adjustRightInd w:val="0"/>
        <w:spacing w:line="360" w:lineRule="auto"/>
        <w:ind w:firstLineChars="200" w:firstLine="480"/>
        <w:rPr>
          <w:sz w:val="24"/>
        </w:rPr>
      </w:pPr>
      <w:r>
        <w:rPr>
          <w:rFonts w:hint="eastAsia"/>
          <w:sz w:val="24"/>
        </w:rPr>
        <w:t>本文件适用于特色猪肉蛋白质含量检测装置的制造、使用、运输、储存、检测和管理。</w:t>
      </w:r>
    </w:p>
    <w:p w14:paraId="67D6D260" w14:textId="77777777" w:rsidR="000A2CD4" w:rsidRDefault="00000000">
      <w:pPr>
        <w:widowControl/>
        <w:numPr>
          <w:ilvl w:val="1"/>
          <w:numId w:val="0"/>
        </w:numPr>
        <w:spacing w:line="360" w:lineRule="auto"/>
        <w:ind w:firstLineChars="200" w:firstLine="480"/>
        <w:outlineLvl w:val="0"/>
        <w:rPr>
          <w:rFonts w:ascii="黑体" w:eastAsia="黑体" w:cs="黑体"/>
          <w:kern w:val="0"/>
          <w:sz w:val="24"/>
        </w:rPr>
      </w:pPr>
      <w:r>
        <w:rPr>
          <w:rFonts w:ascii="黑体" w:eastAsia="黑体" w:cs="黑体" w:hint="eastAsia"/>
          <w:kern w:val="0"/>
          <w:sz w:val="24"/>
        </w:rPr>
        <w:t>2、基本参数说明</w:t>
      </w:r>
    </w:p>
    <w:p w14:paraId="60009E1E" w14:textId="77777777" w:rsidR="000A2CD4" w:rsidRDefault="00000000">
      <w:pPr>
        <w:spacing w:line="360" w:lineRule="auto"/>
        <w:ind w:firstLine="420"/>
        <w:rPr>
          <w:sz w:val="24"/>
        </w:rPr>
      </w:pPr>
      <w:r>
        <w:rPr>
          <w:rFonts w:hint="eastAsia"/>
          <w:sz w:val="24"/>
        </w:rPr>
        <w:t>——检测响应时间：是指检测装置工作时，每次显示结果的时间，是体现检测装置检测速度的性能指标。基于技术可行性、行业应用经验和前期验证数据，确定检测响应时间≤</w:t>
      </w:r>
      <w:r>
        <w:rPr>
          <w:rFonts w:hint="eastAsia"/>
          <w:sz w:val="24"/>
        </w:rPr>
        <w:t>5s</w:t>
      </w:r>
      <w:r>
        <w:rPr>
          <w:rFonts w:hint="eastAsia"/>
          <w:sz w:val="24"/>
        </w:rPr>
        <w:t>。</w:t>
      </w:r>
    </w:p>
    <w:p w14:paraId="5C7D0283" w14:textId="77777777" w:rsidR="000A2CD4" w:rsidRDefault="00000000">
      <w:pPr>
        <w:spacing w:line="360" w:lineRule="auto"/>
        <w:ind w:firstLine="420"/>
        <w:rPr>
          <w:sz w:val="24"/>
        </w:rPr>
      </w:pPr>
      <w:r>
        <w:rPr>
          <w:rFonts w:hint="eastAsia"/>
          <w:sz w:val="24"/>
        </w:rPr>
        <w:t>——蛋白质含量检测误差：是指检测装置检测的数值与使用国家标准检测出的方法之间差值的百分比，是体现检测装置检测准确度的性能指标。基于技术可行性、行业应用经验和前期验证数据，确定蛋白质含量检测误差在±</w:t>
      </w:r>
      <w:r>
        <w:rPr>
          <w:rFonts w:hint="eastAsia"/>
          <w:sz w:val="24"/>
        </w:rPr>
        <w:t>5%</w:t>
      </w:r>
      <w:r>
        <w:rPr>
          <w:rFonts w:hint="eastAsia"/>
          <w:sz w:val="24"/>
        </w:rPr>
        <w:t>。</w:t>
      </w:r>
    </w:p>
    <w:p w14:paraId="0710192E" w14:textId="77777777" w:rsidR="000A2CD4" w:rsidRDefault="00000000">
      <w:pPr>
        <w:spacing w:line="360" w:lineRule="auto"/>
        <w:ind w:firstLine="420"/>
        <w:rPr>
          <w:sz w:val="24"/>
        </w:rPr>
      </w:pPr>
      <w:r>
        <w:rPr>
          <w:rFonts w:hint="eastAsia"/>
          <w:sz w:val="24"/>
        </w:rPr>
        <w:t>——蛋白质含量检测准确率：是指蛋白质含量检测误差合格的数量与总数量之间的比值，是体现检测装置检测准确度的性能指标。基于技术可行性、行业应用经验和前期验证数据，确定蛋白质含量检测准确率≥</w:t>
      </w:r>
      <w:r>
        <w:rPr>
          <w:rFonts w:hint="eastAsia"/>
          <w:sz w:val="24"/>
        </w:rPr>
        <w:t>95%</w:t>
      </w:r>
      <w:r>
        <w:rPr>
          <w:rFonts w:hint="eastAsia"/>
          <w:sz w:val="24"/>
        </w:rPr>
        <w:t>。</w:t>
      </w:r>
    </w:p>
    <w:p w14:paraId="0B70C292" w14:textId="77777777" w:rsidR="000A2CD4" w:rsidRDefault="00000000">
      <w:pPr>
        <w:spacing w:line="360" w:lineRule="auto"/>
        <w:ind w:firstLine="420"/>
        <w:rPr>
          <w:sz w:val="24"/>
        </w:rPr>
      </w:pPr>
      <w:r>
        <w:rPr>
          <w:rFonts w:hint="eastAsia"/>
          <w:sz w:val="24"/>
        </w:rPr>
        <w:t>——蛋白质含量检测标准差：是指检测装置多次检测同一样品时每次结果的标准差，是体现检测装置检测准确度的性能指标。基于技术可行性、行业应用经验和前期验证数据，确定蛋白质含量检测标准差≤</w:t>
      </w:r>
      <w:r>
        <w:rPr>
          <w:rFonts w:hint="eastAsia"/>
          <w:sz w:val="24"/>
        </w:rPr>
        <w:t>0.4 g/100g</w:t>
      </w:r>
      <w:r>
        <w:rPr>
          <w:rFonts w:hint="eastAsia"/>
          <w:sz w:val="24"/>
        </w:rPr>
        <w:t>。</w:t>
      </w:r>
    </w:p>
    <w:p w14:paraId="6412840E" w14:textId="77777777" w:rsidR="000A2CD4" w:rsidRDefault="00000000">
      <w:pPr>
        <w:spacing w:line="360" w:lineRule="auto"/>
        <w:ind w:firstLine="420"/>
        <w:rPr>
          <w:sz w:val="24"/>
        </w:rPr>
      </w:pPr>
      <w:r>
        <w:rPr>
          <w:rFonts w:hint="eastAsia"/>
          <w:sz w:val="24"/>
        </w:rPr>
        <w:t>——工作噪声：是指检测装置在正常工作时产生的噪声，基于技术可行性、行业应用经验和前期验证数据，确定工作噪声≤</w:t>
      </w:r>
      <w:r>
        <w:rPr>
          <w:rFonts w:hint="eastAsia"/>
          <w:sz w:val="24"/>
        </w:rPr>
        <w:t>60 dB</w:t>
      </w:r>
      <w:r>
        <w:rPr>
          <w:rFonts w:hint="eastAsia"/>
          <w:sz w:val="24"/>
        </w:rPr>
        <w:t>（</w:t>
      </w:r>
      <w:r>
        <w:rPr>
          <w:rFonts w:hint="eastAsia"/>
          <w:sz w:val="24"/>
        </w:rPr>
        <w:t>A</w:t>
      </w:r>
      <w:r>
        <w:rPr>
          <w:rFonts w:hint="eastAsia"/>
          <w:sz w:val="24"/>
        </w:rPr>
        <w:t>）。</w:t>
      </w:r>
    </w:p>
    <w:p w14:paraId="7BC43A40" w14:textId="77777777" w:rsidR="000A2CD4" w:rsidRDefault="00000000">
      <w:pPr>
        <w:widowControl/>
        <w:numPr>
          <w:ilvl w:val="1"/>
          <w:numId w:val="0"/>
        </w:numPr>
        <w:spacing w:line="360" w:lineRule="auto"/>
        <w:ind w:firstLineChars="200" w:firstLine="480"/>
        <w:outlineLvl w:val="0"/>
        <w:rPr>
          <w:rFonts w:ascii="黑体" w:eastAsia="黑体" w:cs="黑体"/>
          <w:kern w:val="0"/>
          <w:sz w:val="24"/>
        </w:rPr>
      </w:pPr>
      <w:r>
        <w:rPr>
          <w:rFonts w:ascii="黑体" w:eastAsia="黑体" w:cs="黑体" w:hint="eastAsia"/>
          <w:kern w:val="0"/>
          <w:sz w:val="24"/>
        </w:rPr>
        <w:t>3、技术要求说明</w:t>
      </w:r>
    </w:p>
    <w:p w14:paraId="5C6E9D01" w14:textId="77777777" w:rsidR="000A2CD4" w:rsidRDefault="00000000">
      <w:pPr>
        <w:widowControl/>
        <w:numPr>
          <w:ilvl w:val="2"/>
          <w:numId w:val="0"/>
        </w:numPr>
        <w:spacing w:line="360" w:lineRule="auto"/>
        <w:ind w:firstLineChars="200" w:firstLine="480"/>
        <w:outlineLvl w:val="0"/>
        <w:rPr>
          <w:rFonts w:cs="Calibri"/>
          <w:sz w:val="24"/>
        </w:rPr>
      </w:pPr>
      <w:bookmarkStart w:id="3" w:name="_Toc196386094"/>
      <w:bookmarkStart w:id="4" w:name="_Hlk138602991"/>
      <w:bookmarkEnd w:id="2"/>
      <w:r>
        <w:rPr>
          <w:rFonts w:eastAsia="黑体" w:cs="黑体" w:hint="eastAsia"/>
          <w:kern w:val="0"/>
          <w:sz w:val="24"/>
        </w:rPr>
        <w:t>（</w:t>
      </w:r>
      <w:r>
        <w:rPr>
          <w:rFonts w:eastAsia="黑体" w:cs="黑体" w:hint="eastAsia"/>
          <w:kern w:val="0"/>
          <w:sz w:val="24"/>
        </w:rPr>
        <w:t>1</w:t>
      </w:r>
      <w:r>
        <w:rPr>
          <w:rFonts w:eastAsia="黑体" w:cs="黑体" w:hint="eastAsia"/>
          <w:kern w:val="0"/>
          <w:sz w:val="24"/>
        </w:rPr>
        <w:t>）材料</w:t>
      </w:r>
      <w:r>
        <w:rPr>
          <w:rFonts w:ascii="黑体" w:eastAsia="黑体" w:cs="黑体" w:hint="eastAsia"/>
          <w:bCs/>
          <w:kern w:val="0"/>
          <w:sz w:val="24"/>
        </w:rPr>
        <w:t>要求</w:t>
      </w:r>
      <w:bookmarkEnd w:id="3"/>
      <w:r>
        <w:rPr>
          <w:rFonts w:ascii="黑体" w:eastAsia="黑体" w:cs="黑体" w:hint="eastAsia"/>
          <w:bCs/>
          <w:kern w:val="0"/>
          <w:sz w:val="24"/>
        </w:rPr>
        <w:t>：</w:t>
      </w:r>
      <w:bookmarkEnd w:id="4"/>
      <w:r>
        <w:rPr>
          <w:rFonts w:hint="eastAsia"/>
          <w:kern w:val="0"/>
          <w:sz w:val="24"/>
        </w:rPr>
        <w:t>检测装置材料的选择和设备结构的安全卫生要求应符合</w:t>
      </w:r>
      <w:r>
        <w:rPr>
          <w:rFonts w:hint="eastAsia"/>
          <w:kern w:val="0"/>
          <w:sz w:val="24"/>
        </w:rPr>
        <w:t>GB 16798</w:t>
      </w:r>
      <w:r>
        <w:rPr>
          <w:rFonts w:hint="eastAsia"/>
          <w:kern w:val="0"/>
          <w:sz w:val="24"/>
        </w:rPr>
        <w:t>和</w:t>
      </w:r>
      <w:r>
        <w:rPr>
          <w:rFonts w:hint="eastAsia"/>
          <w:kern w:val="0"/>
          <w:sz w:val="24"/>
        </w:rPr>
        <w:t>GB/T 19891</w:t>
      </w:r>
      <w:r>
        <w:rPr>
          <w:rFonts w:hint="eastAsia"/>
          <w:kern w:val="0"/>
          <w:sz w:val="24"/>
        </w:rPr>
        <w:t>的规定。检测装置所用的原材料、电子元器件及外购零部件应符合使用要求，应有生产厂的质量合格证明书。</w:t>
      </w:r>
      <w:r>
        <w:rPr>
          <w:rFonts w:ascii="宋体" w:hAnsi="宋体" w:cs="黑体" w:hint="eastAsia"/>
          <w:color w:val="000000"/>
          <w:kern w:val="0"/>
          <w:sz w:val="24"/>
        </w:rPr>
        <w:t>检测装置与肉品接触的部位材料应</w:t>
      </w:r>
      <w:r>
        <w:rPr>
          <w:rFonts w:ascii="宋体" w:hAnsi="宋体" w:cs="Calibri" w:hint="eastAsia"/>
          <w:sz w:val="24"/>
        </w:rPr>
        <w:t>符合食品安全要求</w:t>
      </w:r>
      <w:r>
        <w:rPr>
          <w:rFonts w:ascii="宋体" w:hAnsi="宋体" w:cs="黑体" w:hint="eastAsia"/>
          <w:color w:val="000000"/>
          <w:kern w:val="0"/>
          <w:sz w:val="24"/>
        </w:rPr>
        <w:t>。</w:t>
      </w:r>
    </w:p>
    <w:p w14:paraId="752A54FC" w14:textId="77777777" w:rsidR="000A2CD4" w:rsidRDefault="00000000">
      <w:pPr>
        <w:widowControl/>
        <w:numPr>
          <w:ilvl w:val="2"/>
          <w:numId w:val="0"/>
        </w:numPr>
        <w:spacing w:line="360" w:lineRule="auto"/>
        <w:ind w:firstLineChars="200" w:firstLine="480"/>
        <w:outlineLvl w:val="0"/>
        <w:rPr>
          <w:rFonts w:ascii="宋体" w:hAnsi="宋体" w:cs="黑体" w:hint="eastAsia"/>
          <w:kern w:val="0"/>
          <w:sz w:val="24"/>
        </w:rPr>
      </w:pPr>
      <w:bookmarkStart w:id="5" w:name="_Toc196386095"/>
      <w:r>
        <w:rPr>
          <w:rFonts w:ascii="黑体" w:eastAsia="黑体" w:hint="eastAsia"/>
          <w:kern w:val="0"/>
          <w:sz w:val="24"/>
        </w:rPr>
        <w:t>（2）加工要求</w:t>
      </w:r>
      <w:bookmarkEnd w:id="5"/>
      <w:r>
        <w:rPr>
          <w:rFonts w:ascii="黑体" w:eastAsia="黑体" w:hint="eastAsia"/>
          <w:kern w:val="0"/>
          <w:sz w:val="24"/>
        </w:rPr>
        <w:t>：</w:t>
      </w:r>
      <w:r>
        <w:rPr>
          <w:rFonts w:ascii="宋体" w:hAnsi="宋体" w:cs="Arial" w:hint="eastAsia"/>
          <w:kern w:val="0"/>
          <w:sz w:val="24"/>
        </w:rPr>
        <w:t>设备</w:t>
      </w:r>
      <w:r>
        <w:rPr>
          <w:rFonts w:ascii="宋体" w:cs="黑体"/>
          <w:kern w:val="0"/>
          <w:sz w:val="24"/>
        </w:rPr>
        <w:t>零部件的机械加工应符</w:t>
      </w:r>
      <w:r>
        <w:rPr>
          <w:rFonts w:ascii="宋体" w:hAnsi="宋体" w:cs="黑体"/>
          <w:kern w:val="0"/>
          <w:sz w:val="24"/>
        </w:rPr>
        <w:t>合SB/T 223的</w:t>
      </w:r>
      <w:r>
        <w:rPr>
          <w:rFonts w:ascii="宋体" w:hAnsi="宋体" w:cs="黑体" w:hint="eastAsia"/>
          <w:kern w:val="0"/>
          <w:sz w:val="24"/>
        </w:rPr>
        <w:t>规定</w:t>
      </w:r>
      <w:r>
        <w:rPr>
          <w:rFonts w:ascii="宋体" w:cs="黑体"/>
          <w:kern w:val="0"/>
          <w:sz w:val="24"/>
        </w:rPr>
        <w:t>。</w:t>
      </w:r>
      <w:r>
        <w:rPr>
          <w:rFonts w:ascii="宋体" w:hAnsi="宋体" w:cs="Arial" w:hint="eastAsia"/>
          <w:kern w:val="0"/>
          <w:sz w:val="24"/>
        </w:rPr>
        <w:t>设备</w:t>
      </w:r>
      <w:r>
        <w:rPr>
          <w:rFonts w:ascii="宋体" w:cs="黑体"/>
          <w:kern w:val="0"/>
          <w:sz w:val="24"/>
        </w:rPr>
        <w:t>焊接</w:t>
      </w:r>
      <w:r>
        <w:rPr>
          <w:rFonts w:ascii="宋体" w:cs="黑体" w:hint="eastAsia"/>
          <w:kern w:val="0"/>
          <w:sz w:val="24"/>
        </w:rPr>
        <w:t>件应</w:t>
      </w:r>
      <w:r>
        <w:rPr>
          <w:rFonts w:ascii="宋体" w:cs="黑体"/>
          <w:kern w:val="0"/>
          <w:sz w:val="24"/>
        </w:rPr>
        <w:t>符合</w:t>
      </w:r>
      <w:r>
        <w:rPr>
          <w:rFonts w:ascii="宋体" w:hAnsi="宋体" w:cs="黑体"/>
          <w:kern w:val="0"/>
          <w:sz w:val="24"/>
        </w:rPr>
        <w:t>SB/T 226</w:t>
      </w:r>
      <w:r>
        <w:rPr>
          <w:rFonts w:ascii="宋体" w:cs="黑体"/>
          <w:kern w:val="0"/>
          <w:sz w:val="24"/>
        </w:rPr>
        <w:t>的</w:t>
      </w:r>
      <w:r>
        <w:rPr>
          <w:rFonts w:ascii="宋体" w:cs="黑体" w:hint="eastAsia"/>
          <w:kern w:val="0"/>
          <w:sz w:val="24"/>
        </w:rPr>
        <w:t>规定</w:t>
      </w:r>
      <w:r>
        <w:rPr>
          <w:rFonts w:ascii="宋体" w:cs="黑体"/>
          <w:kern w:val="0"/>
          <w:sz w:val="24"/>
        </w:rPr>
        <w:t>。</w:t>
      </w:r>
      <w:r>
        <w:rPr>
          <w:rFonts w:ascii="宋体" w:hAnsi="宋体" w:cs="宋体" w:hint="eastAsia"/>
          <w:kern w:val="0"/>
          <w:sz w:val="24"/>
        </w:rPr>
        <w:t>设备表面涂漆</w:t>
      </w:r>
      <w:r>
        <w:rPr>
          <w:rFonts w:ascii="宋体" w:hAnsi="宋体" w:cs="黑体" w:hint="eastAsia"/>
          <w:kern w:val="0"/>
          <w:sz w:val="24"/>
        </w:rPr>
        <w:t>应符合</w:t>
      </w:r>
      <w:r>
        <w:rPr>
          <w:rFonts w:ascii="宋体" w:hAnsi="宋体" w:cs="Arial" w:hint="eastAsia"/>
          <w:kern w:val="0"/>
          <w:sz w:val="24"/>
        </w:rPr>
        <w:t>SB/T 228</w:t>
      </w:r>
      <w:r>
        <w:rPr>
          <w:rFonts w:ascii="宋体" w:hAnsi="宋体" w:cs="黑体" w:hint="eastAsia"/>
          <w:kern w:val="0"/>
          <w:sz w:val="24"/>
        </w:rPr>
        <w:t>的规定。</w:t>
      </w:r>
    </w:p>
    <w:p w14:paraId="55639A2A" w14:textId="77777777" w:rsidR="000A2CD4" w:rsidRDefault="00000000">
      <w:pPr>
        <w:pStyle w:val="af2"/>
        <w:numPr>
          <w:ilvl w:val="3"/>
          <w:numId w:val="0"/>
        </w:numPr>
        <w:spacing w:beforeLines="0" w:afterLines="0" w:line="360" w:lineRule="auto"/>
        <w:ind w:firstLineChars="200" w:firstLine="480"/>
        <w:rPr>
          <w:rFonts w:ascii="宋体" w:eastAsia="宋体" w:hAnsi="宋体" w:cs="Times New Roman" w:hint="eastAsia"/>
        </w:rPr>
      </w:pPr>
      <w:bookmarkStart w:id="6" w:name="_Toc196386096"/>
      <w:r>
        <w:rPr>
          <w:rFonts w:ascii="黑体" w:hint="eastAsia"/>
          <w:sz w:val="24"/>
        </w:rPr>
        <w:t>（3）主要零部件及整机系统要求</w:t>
      </w:r>
      <w:bookmarkEnd w:id="6"/>
      <w:r>
        <w:rPr>
          <w:rFonts w:ascii="黑体" w:hint="eastAsia"/>
          <w:sz w:val="24"/>
        </w:rPr>
        <w:t>：</w:t>
      </w:r>
      <w:r>
        <w:rPr>
          <w:rFonts w:ascii="宋体" w:eastAsia="宋体" w:hAnsi="宋体" w:cs="宋体" w:hint="eastAsia"/>
          <w:sz w:val="24"/>
          <w:szCs w:val="24"/>
        </w:rPr>
        <w:t>检测装置通信系统应稳定、准确、流畅，无异常现象。检测装置与肉品接触的零部件表面应平整光滑。探头应能准确地采集特色猪肉样品的光谱信息。控制系统应具备快速的数据处理和计算能力，能够准确接收和解析探头采集的光谱数据。</w:t>
      </w:r>
    </w:p>
    <w:p w14:paraId="4EEA1649" w14:textId="77777777" w:rsidR="000A2CD4" w:rsidRDefault="00000000">
      <w:pPr>
        <w:widowControl/>
        <w:numPr>
          <w:ilvl w:val="2"/>
          <w:numId w:val="0"/>
        </w:numPr>
        <w:spacing w:line="360" w:lineRule="auto"/>
        <w:ind w:firstLineChars="200" w:firstLine="480"/>
        <w:rPr>
          <w:rFonts w:ascii="宋体" w:hAnsi="宋体" w:cs="宋体" w:hint="eastAsia"/>
          <w:kern w:val="0"/>
          <w:sz w:val="24"/>
        </w:rPr>
      </w:pPr>
      <w:bookmarkStart w:id="7" w:name="_Toc29875"/>
      <w:bookmarkStart w:id="8" w:name="_Toc25965"/>
      <w:bookmarkStart w:id="9" w:name="_Toc1832"/>
      <w:bookmarkStart w:id="10" w:name="_Toc196386097"/>
      <w:r>
        <w:rPr>
          <w:rFonts w:ascii="黑体" w:eastAsia="黑体" w:hint="eastAsia"/>
          <w:kern w:val="0"/>
          <w:sz w:val="24"/>
        </w:rPr>
        <w:lastRenderedPageBreak/>
        <w:t>（4）装配要求</w:t>
      </w:r>
      <w:bookmarkEnd w:id="7"/>
      <w:bookmarkEnd w:id="8"/>
      <w:bookmarkEnd w:id="9"/>
      <w:bookmarkEnd w:id="10"/>
      <w:r>
        <w:rPr>
          <w:rFonts w:ascii="黑体" w:eastAsia="黑体" w:hint="eastAsia"/>
          <w:kern w:val="0"/>
          <w:sz w:val="24"/>
        </w:rPr>
        <w:t>：</w:t>
      </w:r>
      <w:r>
        <w:rPr>
          <w:rFonts w:ascii="宋体" w:hAnsi="宋体" w:cs="宋体" w:hint="eastAsia"/>
          <w:kern w:val="0"/>
          <w:sz w:val="24"/>
        </w:rPr>
        <w:t>设备装配应符合SB/T 224的规定。检测装置零部件的连接应可靠，零部件拆卸、安装应方便。与检测功能直接相关的探头、光源等关键零部件的装配应符合设计要求和校准规范。</w:t>
      </w:r>
    </w:p>
    <w:p w14:paraId="1F669AB5" w14:textId="77777777" w:rsidR="000A2CD4" w:rsidRDefault="00000000">
      <w:pPr>
        <w:widowControl/>
        <w:numPr>
          <w:ilvl w:val="2"/>
          <w:numId w:val="0"/>
        </w:numPr>
        <w:spacing w:line="360" w:lineRule="auto"/>
        <w:ind w:firstLineChars="200" w:firstLine="480"/>
        <w:outlineLvl w:val="0"/>
        <w:rPr>
          <w:rFonts w:ascii="宋体" w:hAnsi="宋体" w:hint="eastAsia"/>
          <w:color w:val="000000"/>
        </w:rPr>
      </w:pPr>
      <w:bookmarkStart w:id="11" w:name="_Toc196386098"/>
      <w:r>
        <w:rPr>
          <w:rFonts w:ascii="黑体" w:eastAsia="黑体" w:cs="黑体" w:hint="eastAsia"/>
          <w:bCs/>
          <w:kern w:val="0"/>
          <w:sz w:val="24"/>
        </w:rPr>
        <w:t>（5）卫生安全要求</w:t>
      </w:r>
      <w:bookmarkEnd w:id="11"/>
      <w:r>
        <w:rPr>
          <w:rFonts w:ascii="黑体" w:eastAsia="黑体" w:cs="黑体" w:hint="eastAsia"/>
          <w:bCs/>
          <w:kern w:val="0"/>
          <w:sz w:val="24"/>
        </w:rPr>
        <w:t>：</w:t>
      </w:r>
      <w:bookmarkStart w:id="12" w:name="_Toc196386099"/>
      <w:r>
        <w:rPr>
          <w:rFonts w:ascii="宋体" w:hAnsi="宋体" w:cs="宋体" w:hint="eastAsia"/>
          <w:kern w:val="0"/>
          <w:sz w:val="24"/>
        </w:rPr>
        <w:t>设备的结构卫生及可洗净性应符合GB 16798的规定。设备的表面应平整、光洁，不应有明显的凹凸不平等现象，不应存在死区。</w:t>
      </w:r>
    </w:p>
    <w:p w14:paraId="17A1A1D7" w14:textId="77777777" w:rsidR="000A2CD4" w:rsidRDefault="00000000">
      <w:pPr>
        <w:widowControl/>
        <w:numPr>
          <w:ilvl w:val="2"/>
          <w:numId w:val="0"/>
        </w:numPr>
        <w:spacing w:line="360" w:lineRule="auto"/>
        <w:ind w:firstLineChars="200" w:firstLine="480"/>
        <w:outlineLvl w:val="0"/>
        <w:rPr>
          <w:rFonts w:cs="Calibri"/>
          <w:sz w:val="24"/>
        </w:rPr>
      </w:pPr>
      <w:r>
        <w:rPr>
          <w:rFonts w:ascii="黑体" w:eastAsia="黑体" w:cs="黑体" w:hint="eastAsia"/>
          <w:kern w:val="0"/>
          <w:sz w:val="24"/>
        </w:rPr>
        <w:t>（6）</w:t>
      </w:r>
      <w:r>
        <w:rPr>
          <w:rFonts w:ascii="黑体" w:eastAsia="黑体" w:cs="黑体" w:hint="eastAsia"/>
          <w:bCs/>
          <w:kern w:val="0"/>
          <w:sz w:val="24"/>
        </w:rPr>
        <w:t>电气安全要求</w:t>
      </w:r>
      <w:bookmarkEnd w:id="12"/>
      <w:r>
        <w:rPr>
          <w:rFonts w:ascii="黑体" w:eastAsia="黑体" w:cs="黑体" w:hint="eastAsia"/>
          <w:bCs/>
          <w:kern w:val="0"/>
          <w:sz w:val="24"/>
        </w:rPr>
        <w:t>：</w:t>
      </w:r>
      <w:r>
        <w:rPr>
          <w:rFonts w:ascii="宋体" w:hAnsi="宋体" w:cs="宋体" w:hint="eastAsia"/>
          <w:kern w:val="0"/>
          <w:sz w:val="24"/>
        </w:rPr>
        <w:t>检测装置电气安全应符合GB/T 5226.1规定。电气控制系统应安全可靠、动作准确，电气线路接头应联接牢固并加以编号，导线不应裸露，应有漏电保护装置。操作按钮应可靠，并有急停按钮，指示灯显示应正常。检测装置应具有过压保护措施。检测装置接地端子或接地触点与接地金属部件之间的连接应具有低电阻，其电阻值不应大于0.1 Ω。检测装置动力电路导线和保护联结电路间施加DC 500 V时测得的绝缘电阻不应小于1 MΩ。检测装置最大试验电压取两倍的电气设备额定电源电压值或1000 V中的较大者，在动力电路导线和保护联结电路间施加最大试验电压并保持至少1s时间，不应出现击穿、放电现象。</w:t>
      </w:r>
    </w:p>
    <w:p w14:paraId="38047E47" w14:textId="77777777" w:rsidR="000A2CD4" w:rsidRDefault="00000000">
      <w:pPr>
        <w:widowControl/>
        <w:numPr>
          <w:ilvl w:val="2"/>
          <w:numId w:val="0"/>
        </w:numPr>
        <w:spacing w:line="360" w:lineRule="auto"/>
        <w:ind w:firstLineChars="200" w:firstLine="480"/>
        <w:outlineLvl w:val="0"/>
      </w:pPr>
      <w:bookmarkStart w:id="13" w:name="_Toc196386100"/>
      <w:r>
        <w:rPr>
          <w:rFonts w:ascii="黑体" w:eastAsia="黑体" w:cs="黑体" w:hint="eastAsia"/>
          <w:kern w:val="0"/>
          <w:sz w:val="24"/>
        </w:rPr>
        <w:t>（7）</w:t>
      </w:r>
      <w:r>
        <w:rPr>
          <w:rFonts w:eastAsia="黑体" w:cs="黑体" w:hint="eastAsia"/>
          <w:kern w:val="0"/>
          <w:sz w:val="24"/>
        </w:rPr>
        <w:t>机械安全要求</w:t>
      </w:r>
      <w:bookmarkStart w:id="14" w:name="_Toc196386101"/>
      <w:bookmarkEnd w:id="13"/>
      <w:r>
        <w:rPr>
          <w:rFonts w:eastAsia="黑体" w:cs="黑体" w:hint="eastAsia"/>
          <w:kern w:val="0"/>
          <w:sz w:val="24"/>
        </w:rPr>
        <w:t>：</w:t>
      </w:r>
      <w:r>
        <w:rPr>
          <w:rFonts w:ascii="宋体" w:hAnsi="宋体" w:cs="宋体" w:hint="eastAsia"/>
          <w:kern w:val="0"/>
          <w:sz w:val="24"/>
        </w:rPr>
        <w:t>检测装置的外表面应清洁、光滑，不应有明显的机械损伤，不应有对人体造成伤害的尖角</w:t>
      </w:r>
      <w:proofErr w:type="gramStart"/>
      <w:r>
        <w:rPr>
          <w:rFonts w:ascii="宋体" w:hAnsi="宋体" w:cs="宋体" w:hint="eastAsia"/>
          <w:kern w:val="0"/>
          <w:sz w:val="24"/>
        </w:rPr>
        <w:t>及棱边</w:t>
      </w:r>
      <w:proofErr w:type="gramEnd"/>
      <w:r>
        <w:rPr>
          <w:rFonts w:ascii="宋体" w:hAnsi="宋体" w:cs="宋体" w:hint="eastAsia"/>
          <w:kern w:val="0"/>
          <w:sz w:val="24"/>
        </w:rPr>
        <w:t>。检测装置探头和机体安全防护应符合GB/T 4208的规定，防护等级不应低于IP 55的要求。检测装置各零部件及紧固件应固定可靠，对易脱落的零部件应有防松装置，不应因振动而松动或脱落。检测装置应具备异常报警提示功能。</w:t>
      </w:r>
    </w:p>
    <w:p w14:paraId="4EAE8B79" w14:textId="77777777" w:rsidR="000A2CD4" w:rsidRDefault="00000000">
      <w:pPr>
        <w:widowControl/>
        <w:numPr>
          <w:ilvl w:val="2"/>
          <w:numId w:val="0"/>
        </w:numPr>
        <w:spacing w:line="360" w:lineRule="auto"/>
        <w:ind w:firstLineChars="200" w:firstLine="480"/>
        <w:outlineLvl w:val="0"/>
        <w:rPr>
          <w:kern w:val="0"/>
          <w:sz w:val="24"/>
        </w:rPr>
      </w:pPr>
      <w:r>
        <w:rPr>
          <w:rFonts w:eastAsia="黑体" w:cs="黑体" w:hint="eastAsia"/>
          <w:kern w:val="0"/>
          <w:sz w:val="24"/>
        </w:rPr>
        <w:t>（</w:t>
      </w:r>
      <w:r>
        <w:rPr>
          <w:rFonts w:eastAsia="黑体" w:cs="黑体" w:hint="eastAsia"/>
          <w:kern w:val="0"/>
          <w:sz w:val="24"/>
        </w:rPr>
        <w:t>8</w:t>
      </w:r>
      <w:r>
        <w:rPr>
          <w:rFonts w:eastAsia="黑体" w:cs="黑体" w:hint="eastAsia"/>
          <w:kern w:val="0"/>
          <w:sz w:val="24"/>
        </w:rPr>
        <w:t>）性能要求</w:t>
      </w:r>
      <w:bookmarkEnd w:id="14"/>
      <w:r>
        <w:rPr>
          <w:rFonts w:eastAsia="黑体" w:cs="黑体" w:hint="eastAsia"/>
          <w:kern w:val="0"/>
          <w:sz w:val="24"/>
        </w:rPr>
        <w:t>：</w:t>
      </w:r>
      <w:r>
        <w:rPr>
          <w:rFonts w:hint="eastAsia"/>
          <w:kern w:val="0"/>
          <w:sz w:val="24"/>
        </w:rPr>
        <w:t>检测装置内部光源应稳定，应运行平稳。</w:t>
      </w:r>
    </w:p>
    <w:p w14:paraId="19298ECE" w14:textId="77777777" w:rsidR="000A2CD4" w:rsidRDefault="00000000">
      <w:pPr>
        <w:widowControl/>
        <w:numPr>
          <w:ilvl w:val="1"/>
          <w:numId w:val="0"/>
        </w:numPr>
        <w:spacing w:line="360" w:lineRule="auto"/>
        <w:ind w:firstLineChars="200" w:firstLine="480"/>
        <w:outlineLvl w:val="0"/>
        <w:rPr>
          <w:rFonts w:eastAsia="黑体" w:cs="黑体"/>
          <w:kern w:val="0"/>
          <w:sz w:val="24"/>
        </w:rPr>
      </w:pPr>
      <w:bookmarkStart w:id="15" w:name="_Toc72158558"/>
      <w:bookmarkStart w:id="16" w:name="_Toc72158559"/>
      <w:bookmarkStart w:id="17" w:name="_Toc196386102"/>
      <w:bookmarkEnd w:id="15"/>
      <w:bookmarkEnd w:id="16"/>
      <w:r>
        <w:rPr>
          <w:rFonts w:ascii="黑体" w:eastAsia="黑体" w:cs="黑体" w:hint="eastAsia"/>
          <w:kern w:val="0"/>
          <w:sz w:val="24"/>
        </w:rPr>
        <w:t>4、</w:t>
      </w:r>
      <w:r>
        <w:rPr>
          <w:rFonts w:eastAsia="黑体" w:cs="黑体" w:hint="eastAsia"/>
          <w:kern w:val="0"/>
          <w:sz w:val="24"/>
        </w:rPr>
        <w:t>试验方法</w:t>
      </w:r>
      <w:bookmarkEnd w:id="17"/>
      <w:r>
        <w:rPr>
          <w:rFonts w:eastAsia="黑体" w:cs="黑体" w:hint="eastAsia"/>
          <w:kern w:val="0"/>
          <w:sz w:val="24"/>
        </w:rPr>
        <w:t>说明</w:t>
      </w:r>
    </w:p>
    <w:p w14:paraId="7C12F892" w14:textId="77777777" w:rsidR="000A2CD4" w:rsidRDefault="00000000">
      <w:pPr>
        <w:widowControl/>
        <w:numPr>
          <w:ilvl w:val="2"/>
          <w:numId w:val="0"/>
        </w:numPr>
        <w:spacing w:line="360" w:lineRule="auto"/>
        <w:ind w:firstLineChars="200" w:firstLine="480"/>
        <w:outlineLvl w:val="0"/>
        <w:rPr>
          <w:kern w:val="0"/>
          <w:sz w:val="24"/>
        </w:rPr>
      </w:pPr>
      <w:bookmarkStart w:id="18" w:name="_Toc196386104"/>
      <w:bookmarkStart w:id="19" w:name="_Toc39844952"/>
      <w:r>
        <w:rPr>
          <w:rFonts w:hint="eastAsia"/>
          <w:kern w:val="0"/>
          <w:sz w:val="24"/>
        </w:rPr>
        <w:t>检测装置</w:t>
      </w:r>
      <w:r>
        <w:rPr>
          <w:kern w:val="0"/>
          <w:sz w:val="24"/>
        </w:rPr>
        <w:t>试验方法涉及</w:t>
      </w:r>
      <w:r>
        <w:rPr>
          <w:rFonts w:hint="eastAsia"/>
          <w:kern w:val="0"/>
          <w:sz w:val="24"/>
        </w:rPr>
        <w:t>材料要求</w:t>
      </w:r>
      <w:r>
        <w:rPr>
          <w:kern w:val="0"/>
          <w:sz w:val="24"/>
        </w:rPr>
        <w:t>检查、</w:t>
      </w:r>
      <w:bookmarkStart w:id="20" w:name="_Toc76041431"/>
      <w:r>
        <w:rPr>
          <w:rFonts w:hint="eastAsia"/>
          <w:kern w:val="0"/>
          <w:sz w:val="24"/>
        </w:rPr>
        <w:t>加工要求</w:t>
      </w:r>
      <w:r>
        <w:rPr>
          <w:kern w:val="0"/>
          <w:sz w:val="24"/>
        </w:rPr>
        <w:t>检查</w:t>
      </w:r>
      <w:bookmarkEnd w:id="20"/>
      <w:r>
        <w:rPr>
          <w:kern w:val="0"/>
          <w:sz w:val="24"/>
        </w:rPr>
        <w:t>、</w:t>
      </w:r>
      <w:bookmarkStart w:id="21" w:name="_Toc76041432"/>
      <w:r>
        <w:rPr>
          <w:rFonts w:hint="eastAsia"/>
          <w:kern w:val="0"/>
          <w:sz w:val="24"/>
        </w:rPr>
        <w:t>主要零部件及整机系统要求</w:t>
      </w:r>
      <w:r>
        <w:rPr>
          <w:kern w:val="0"/>
          <w:sz w:val="24"/>
        </w:rPr>
        <w:t>检查</w:t>
      </w:r>
      <w:bookmarkEnd w:id="21"/>
      <w:r>
        <w:rPr>
          <w:kern w:val="0"/>
          <w:sz w:val="24"/>
        </w:rPr>
        <w:t>、装配</w:t>
      </w:r>
      <w:r>
        <w:rPr>
          <w:rFonts w:hint="eastAsia"/>
          <w:kern w:val="0"/>
          <w:sz w:val="24"/>
        </w:rPr>
        <w:t>要求</w:t>
      </w:r>
      <w:r>
        <w:rPr>
          <w:kern w:val="0"/>
          <w:sz w:val="24"/>
        </w:rPr>
        <w:t>检查、</w:t>
      </w:r>
      <w:r>
        <w:rPr>
          <w:rFonts w:hint="eastAsia"/>
          <w:kern w:val="0"/>
          <w:sz w:val="24"/>
        </w:rPr>
        <w:t>卫生安全要求检查</w:t>
      </w:r>
      <w:r>
        <w:rPr>
          <w:kern w:val="0"/>
          <w:sz w:val="24"/>
        </w:rPr>
        <w:t>、电气安全试验、</w:t>
      </w:r>
      <w:r>
        <w:rPr>
          <w:rFonts w:hint="eastAsia"/>
          <w:kern w:val="0"/>
          <w:sz w:val="24"/>
        </w:rPr>
        <w:t>机械安全</w:t>
      </w:r>
      <w:r>
        <w:rPr>
          <w:kern w:val="0"/>
          <w:sz w:val="24"/>
        </w:rPr>
        <w:t>检查、</w:t>
      </w:r>
      <w:r>
        <w:rPr>
          <w:rFonts w:hint="eastAsia"/>
          <w:kern w:val="0"/>
          <w:sz w:val="24"/>
        </w:rPr>
        <w:t>空载试验</w:t>
      </w:r>
      <w:r>
        <w:rPr>
          <w:kern w:val="0"/>
          <w:sz w:val="24"/>
        </w:rPr>
        <w:t>、</w:t>
      </w:r>
      <w:r>
        <w:rPr>
          <w:rFonts w:hint="eastAsia"/>
          <w:kern w:val="0"/>
          <w:sz w:val="24"/>
        </w:rPr>
        <w:t>负载试验</w:t>
      </w:r>
      <w:r>
        <w:rPr>
          <w:kern w:val="0"/>
          <w:sz w:val="24"/>
        </w:rPr>
        <w:t>、</w:t>
      </w:r>
      <w:r>
        <w:rPr>
          <w:rFonts w:hint="eastAsia"/>
          <w:kern w:val="0"/>
          <w:sz w:val="24"/>
        </w:rPr>
        <w:t>检测响应时间测试、蛋白质含量检测误差检查、蛋白质含量检测准确率检查、蛋白质含量检测标准差检查、工作噪声测量</w:t>
      </w:r>
      <w:r>
        <w:rPr>
          <w:kern w:val="0"/>
          <w:sz w:val="24"/>
        </w:rPr>
        <w:t>等，均有相应的试验方法以及相应国家标准、行业标准可直接引用。</w:t>
      </w:r>
    </w:p>
    <w:p w14:paraId="3E36EDE9" w14:textId="77777777" w:rsidR="000A2CD4" w:rsidRDefault="00000000">
      <w:pPr>
        <w:widowControl/>
        <w:numPr>
          <w:ilvl w:val="1"/>
          <w:numId w:val="0"/>
        </w:numPr>
        <w:spacing w:line="360" w:lineRule="auto"/>
        <w:ind w:firstLineChars="200" w:firstLine="480"/>
        <w:outlineLvl w:val="0"/>
        <w:rPr>
          <w:rFonts w:eastAsia="黑体" w:cs="黑体"/>
          <w:kern w:val="0"/>
          <w:sz w:val="24"/>
        </w:rPr>
      </w:pPr>
      <w:bookmarkStart w:id="22" w:name="_Toc196386116"/>
      <w:bookmarkEnd w:id="18"/>
      <w:bookmarkEnd w:id="19"/>
      <w:r>
        <w:rPr>
          <w:rFonts w:ascii="黑体" w:eastAsia="黑体" w:cs="黑体" w:hint="eastAsia"/>
          <w:kern w:val="0"/>
          <w:sz w:val="24"/>
        </w:rPr>
        <w:t>5、</w:t>
      </w:r>
      <w:r>
        <w:rPr>
          <w:rFonts w:eastAsia="黑体" w:cs="黑体" w:hint="eastAsia"/>
          <w:kern w:val="0"/>
          <w:sz w:val="24"/>
        </w:rPr>
        <w:t>检验规则</w:t>
      </w:r>
      <w:bookmarkEnd w:id="22"/>
      <w:r>
        <w:rPr>
          <w:rFonts w:eastAsia="黑体" w:cs="黑体" w:hint="eastAsia"/>
          <w:kern w:val="0"/>
          <w:sz w:val="24"/>
        </w:rPr>
        <w:t>说明</w:t>
      </w:r>
    </w:p>
    <w:p w14:paraId="21B9A1A9" w14:textId="77777777" w:rsidR="000A2CD4" w:rsidRDefault="00000000">
      <w:pPr>
        <w:widowControl/>
        <w:numPr>
          <w:ilvl w:val="1"/>
          <w:numId w:val="0"/>
        </w:numPr>
        <w:spacing w:line="360" w:lineRule="auto"/>
        <w:ind w:firstLineChars="200" w:firstLine="480"/>
        <w:outlineLvl w:val="0"/>
        <w:rPr>
          <w:sz w:val="24"/>
        </w:rPr>
      </w:pPr>
      <w:bookmarkStart w:id="23" w:name="_Toc196386120"/>
      <w:r>
        <w:rPr>
          <w:rFonts w:hint="eastAsia"/>
          <w:kern w:val="0"/>
          <w:sz w:val="24"/>
        </w:rPr>
        <w:t>检测装置</w:t>
      </w:r>
      <w:r>
        <w:rPr>
          <w:sz w:val="24"/>
        </w:rPr>
        <w:t>检验包括出厂检验和型式检验。其中，出厂检验要求每台必检，检验项目包括</w:t>
      </w:r>
      <w:r>
        <w:rPr>
          <w:rFonts w:hint="eastAsia"/>
          <w:sz w:val="24"/>
        </w:rPr>
        <w:t>材料要求</w:t>
      </w:r>
      <w:r>
        <w:rPr>
          <w:sz w:val="24"/>
        </w:rPr>
        <w:t>检查、</w:t>
      </w:r>
      <w:r>
        <w:rPr>
          <w:rFonts w:hint="eastAsia"/>
          <w:sz w:val="24"/>
        </w:rPr>
        <w:t>加工要求检查、主要零部件及整机系统要求检查</w:t>
      </w:r>
      <w:r>
        <w:rPr>
          <w:sz w:val="24"/>
        </w:rPr>
        <w:t>、</w:t>
      </w:r>
      <w:r>
        <w:rPr>
          <w:rFonts w:hint="eastAsia"/>
          <w:sz w:val="24"/>
        </w:rPr>
        <w:t>装</w:t>
      </w:r>
      <w:r>
        <w:rPr>
          <w:rFonts w:hint="eastAsia"/>
          <w:sz w:val="24"/>
        </w:rPr>
        <w:lastRenderedPageBreak/>
        <w:t>配要求检查、卫生安全要求检查、电气安全试验、机械安全要求检查</w:t>
      </w:r>
      <w:r>
        <w:rPr>
          <w:sz w:val="24"/>
        </w:rPr>
        <w:t>、</w:t>
      </w:r>
      <w:r>
        <w:rPr>
          <w:rFonts w:hint="eastAsia"/>
          <w:sz w:val="24"/>
        </w:rPr>
        <w:t>空载试验、负载试验、检测响应时间测试、蛋白质含量检测误差检查、蛋白质含量检测准确率检查、蛋白质含量检测标准差检查、工作噪声测量、标志、</w:t>
      </w:r>
      <w:r>
        <w:rPr>
          <w:sz w:val="24"/>
        </w:rPr>
        <w:t>技术文件检查；型式检验则根据具体情况而定</w:t>
      </w:r>
      <w:r>
        <w:rPr>
          <w:rFonts w:hint="eastAsia"/>
          <w:sz w:val="24"/>
        </w:rPr>
        <w:t>，正常情况下每两年至少检验一次，检验项目为该标准的全部项目</w:t>
      </w:r>
      <w:r>
        <w:rPr>
          <w:sz w:val="24"/>
        </w:rPr>
        <w:t>。</w:t>
      </w:r>
    </w:p>
    <w:p w14:paraId="23333EF9" w14:textId="77777777" w:rsidR="000A2CD4" w:rsidRDefault="00000000">
      <w:pPr>
        <w:widowControl/>
        <w:numPr>
          <w:ilvl w:val="1"/>
          <w:numId w:val="0"/>
        </w:numPr>
        <w:spacing w:line="360" w:lineRule="auto"/>
        <w:ind w:firstLineChars="200" w:firstLine="480"/>
        <w:outlineLvl w:val="0"/>
        <w:rPr>
          <w:rFonts w:eastAsia="黑体" w:cs="黑体"/>
          <w:kern w:val="0"/>
          <w:sz w:val="24"/>
        </w:rPr>
      </w:pPr>
      <w:r>
        <w:rPr>
          <w:rFonts w:ascii="黑体" w:eastAsia="黑体" w:cs="黑体" w:hint="eastAsia"/>
          <w:kern w:val="0"/>
          <w:sz w:val="24"/>
        </w:rPr>
        <w:t>6、</w:t>
      </w:r>
      <w:r>
        <w:rPr>
          <w:rFonts w:eastAsia="黑体" w:cs="黑体" w:hint="eastAsia"/>
          <w:kern w:val="0"/>
          <w:sz w:val="24"/>
        </w:rPr>
        <w:t>标志、包装、运输和贮存</w:t>
      </w:r>
      <w:bookmarkEnd w:id="23"/>
      <w:r>
        <w:rPr>
          <w:rFonts w:eastAsia="黑体" w:cs="黑体" w:hint="eastAsia"/>
          <w:kern w:val="0"/>
          <w:sz w:val="24"/>
        </w:rPr>
        <w:t>说明</w:t>
      </w:r>
    </w:p>
    <w:p w14:paraId="7640D9C7" w14:textId="77777777" w:rsidR="000A2CD4" w:rsidRDefault="00000000">
      <w:pPr>
        <w:numPr>
          <w:ilvl w:val="3"/>
          <w:numId w:val="0"/>
        </w:numPr>
        <w:spacing w:line="360" w:lineRule="auto"/>
        <w:ind w:firstLineChars="200" w:firstLine="480"/>
        <w:rPr>
          <w:rFonts w:ascii="宋体" w:hAnsi="宋体" w:cs="黑体" w:hint="eastAsia"/>
          <w:color w:val="000000"/>
          <w:kern w:val="0"/>
          <w:sz w:val="24"/>
        </w:rPr>
      </w:pPr>
      <w:bookmarkStart w:id="24" w:name="_Toc196386121"/>
      <w:r>
        <w:rPr>
          <w:rFonts w:ascii="黑体" w:eastAsia="黑体" w:cs="黑体" w:hint="eastAsia"/>
          <w:kern w:val="0"/>
          <w:sz w:val="24"/>
        </w:rPr>
        <w:t>（1）</w:t>
      </w:r>
      <w:r>
        <w:rPr>
          <w:rFonts w:eastAsia="黑体" w:cs="黑体" w:hint="eastAsia"/>
          <w:kern w:val="0"/>
          <w:sz w:val="24"/>
        </w:rPr>
        <w:t>标志</w:t>
      </w:r>
      <w:bookmarkEnd w:id="24"/>
      <w:r>
        <w:rPr>
          <w:rFonts w:eastAsia="黑体" w:cs="黑体" w:hint="eastAsia"/>
          <w:kern w:val="0"/>
          <w:sz w:val="24"/>
        </w:rPr>
        <w:t>：</w:t>
      </w:r>
      <w:r>
        <w:rPr>
          <w:rFonts w:hint="eastAsia"/>
          <w:sz w:val="24"/>
        </w:rPr>
        <w:t>标牌应固定在检测装置平整明显位置，标牌的技术要求应符合</w:t>
      </w:r>
      <w:r>
        <w:rPr>
          <w:rFonts w:hint="eastAsia"/>
          <w:sz w:val="24"/>
        </w:rPr>
        <w:t>GB/T 13306</w:t>
      </w:r>
      <w:r>
        <w:rPr>
          <w:rFonts w:hint="eastAsia"/>
          <w:sz w:val="24"/>
        </w:rPr>
        <w:t>的规定。</w:t>
      </w:r>
      <w:r>
        <w:rPr>
          <w:rFonts w:ascii="宋体" w:hAnsi="宋体" w:cs="黑体" w:hint="eastAsia"/>
          <w:color w:val="000000"/>
          <w:kern w:val="0"/>
          <w:sz w:val="24"/>
        </w:rPr>
        <w:t>设备应有清晰的安全警示标志，安全警示标志应符合</w:t>
      </w:r>
      <w:r>
        <w:rPr>
          <w:rFonts w:ascii="宋体" w:hAnsi="宋体" w:cs="黑体"/>
          <w:color w:val="000000"/>
          <w:kern w:val="0"/>
          <w:sz w:val="24"/>
        </w:rPr>
        <w:t>GB 2894的规定。</w:t>
      </w:r>
    </w:p>
    <w:p w14:paraId="094EA037" w14:textId="77777777" w:rsidR="000A2CD4" w:rsidRDefault="00000000">
      <w:pPr>
        <w:widowControl/>
        <w:numPr>
          <w:ilvl w:val="2"/>
          <w:numId w:val="0"/>
        </w:numPr>
        <w:spacing w:line="360" w:lineRule="auto"/>
        <w:ind w:firstLineChars="200" w:firstLine="480"/>
        <w:outlineLvl w:val="0"/>
        <w:rPr>
          <w:kern w:val="0"/>
          <w:sz w:val="24"/>
        </w:rPr>
      </w:pPr>
      <w:bookmarkStart w:id="25" w:name="_Toc75965836"/>
      <w:bookmarkStart w:id="26" w:name="_Toc196386122"/>
      <w:bookmarkEnd w:id="25"/>
      <w:r>
        <w:rPr>
          <w:rFonts w:ascii="黑体" w:eastAsia="黑体" w:cs="黑体" w:hint="eastAsia"/>
          <w:kern w:val="0"/>
          <w:sz w:val="24"/>
        </w:rPr>
        <w:t>（2）</w:t>
      </w:r>
      <w:r>
        <w:rPr>
          <w:rFonts w:eastAsia="黑体" w:cs="黑体" w:hint="eastAsia"/>
          <w:kern w:val="0"/>
          <w:sz w:val="24"/>
        </w:rPr>
        <w:t>包装</w:t>
      </w:r>
      <w:bookmarkEnd w:id="26"/>
      <w:r>
        <w:rPr>
          <w:rFonts w:eastAsia="黑体" w:cs="黑体" w:hint="eastAsia"/>
          <w:kern w:val="0"/>
          <w:sz w:val="24"/>
        </w:rPr>
        <w:t>：</w:t>
      </w:r>
      <w:r>
        <w:rPr>
          <w:rFonts w:hint="eastAsia"/>
          <w:kern w:val="0"/>
          <w:sz w:val="24"/>
        </w:rPr>
        <w:t>检测装置的包装应符合</w:t>
      </w:r>
      <w:r>
        <w:rPr>
          <w:rFonts w:hint="eastAsia"/>
          <w:kern w:val="0"/>
          <w:sz w:val="24"/>
        </w:rPr>
        <w:t>GB/T 1019</w:t>
      </w:r>
      <w:r>
        <w:rPr>
          <w:rFonts w:hint="eastAsia"/>
          <w:kern w:val="0"/>
          <w:sz w:val="24"/>
        </w:rPr>
        <w:t>的规定。检测装置外包装上应标注有“小心轻放”“向上”“防潮”等储运标志，应符合</w:t>
      </w:r>
      <w:r>
        <w:rPr>
          <w:rFonts w:hint="eastAsia"/>
          <w:kern w:val="0"/>
          <w:sz w:val="24"/>
        </w:rPr>
        <w:t>GB/T 191</w:t>
      </w:r>
      <w:r>
        <w:rPr>
          <w:rFonts w:hint="eastAsia"/>
          <w:kern w:val="0"/>
          <w:sz w:val="24"/>
        </w:rPr>
        <w:t>的规定。检测装置包装时应罩上塑料薄膜后装入包装箱内，包装箱中应填充防震缓冲材料，避免装置损坏，检测装置及附件应牢固固定，适合运输装卸的要求。检测装置包装应防潮、防雨。检测装置包装内应有装箱单、产品合格证、产品使用说明书、必要的随机备件及工具，说明书应包含检测装置的安装、使用和故障处理方法等内容。</w:t>
      </w:r>
    </w:p>
    <w:p w14:paraId="6CBFB2C1" w14:textId="77777777" w:rsidR="000A2CD4" w:rsidRDefault="00000000">
      <w:pPr>
        <w:widowControl/>
        <w:numPr>
          <w:ilvl w:val="2"/>
          <w:numId w:val="0"/>
        </w:numPr>
        <w:spacing w:line="360" w:lineRule="auto"/>
        <w:ind w:firstLineChars="200" w:firstLine="480"/>
        <w:outlineLvl w:val="0"/>
        <w:rPr>
          <w:kern w:val="0"/>
          <w:sz w:val="24"/>
        </w:rPr>
      </w:pPr>
      <w:bookmarkStart w:id="27" w:name="_Toc196386123"/>
      <w:bookmarkStart w:id="28" w:name="_Toc24221373"/>
      <w:bookmarkStart w:id="29" w:name="_Toc24221772"/>
      <w:bookmarkStart w:id="30" w:name="_Toc24622288"/>
      <w:r>
        <w:rPr>
          <w:rFonts w:ascii="黑体" w:eastAsia="黑体" w:cs="黑体" w:hint="eastAsia"/>
          <w:kern w:val="0"/>
          <w:sz w:val="24"/>
        </w:rPr>
        <w:t>（3）</w:t>
      </w:r>
      <w:r>
        <w:rPr>
          <w:rFonts w:eastAsia="黑体" w:cs="黑体" w:hint="eastAsia"/>
          <w:kern w:val="0"/>
          <w:sz w:val="24"/>
        </w:rPr>
        <w:t>运输</w:t>
      </w:r>
      <w:bookmarkEnd w:id="27"/>
      <w:bookmarkEnd w:id="28"/>
      <w:bookmarkEnd w:id="29"/>
      <w:bookmarkEnd w:id="30"/>
      <w:r>
        <w:rPr>
          <w:rFonts w:eastAsia="黑体" w:cs="黑体" w:hint="eastAsia"/>
          <w:kern w:val="0"/>
          <w:sz w:val="24"/>
        </w:rPr>
        <w:t>：</w:t>
      </w:r>
      <w:r>
        <w:rPr>
          <w:rFonts w:hint="eastAsia"/>
          <w:kern w:val="0"/>
          <w:sz w:val="24"/>
        </w:rPr>
        <w:t>检测装置搬运时应小心轻放，避免碰撞，不应损坏产品。检测装置按包装上指定朝向放置于运输工具上。检测装置运输时应放置平稳，捆扎牢固，避免雨淋。</w:t>
      </w:r>
    </w:p>
    <w:p w14:paraId="53047A4A" w14:textId="77777777" w:rsidR="000A2CD4" w:rsidRDefault="00000000">
      <w:pPr>
        <w:widowControl/>
        <w:numPr>
          <w:ilvl w:val="2"/>
          <w:numId w:val="0"/>
        </w:numPr>
        <w:spacing w:line="360" w:lineRule="auto"/>
        <w:ind w:firstLineChars="200" w:firstLine="480"/>
        <w:outlineLvl w:val="0"/>
        <w:rPr>
          <w:rFonts w:cs="黑体"/>
          <w:kern w:val="0"/>
          <w:sz w:val="24"/>
        </w:rPr>
      </w:pPr>
      <w:bookmarkStart w:id="31" w:name="_Toc24221374"/>
      <w:bookmarkStart w:id="32" w:name="_Toc196386124"/>
      <w:bookmarkStart w:id="33" w:name="_Toc24221773"/>
      <w:bookmarkStart w:id="34" w:name="_Toc24622289"/>
      <w:r>
        <w:rPr>
          <w:rFonts w:ascii="黑体" w:eastAsia="黑体" w:cs="黑体" w:hint="eastAsia"/>
          <w:kern w:val="0"/>
          <w:sz w:val="24"/>
        </w:rPr>
        <w:t>（4）</w:t>
      </w:r>
      <w:r>
        <w:rPr>
          <w:rFonts w:eastAsia="黑体" w:cs="黑体" w:hint="eastAsia"/>
          <w:kern w:val="0"/>
          <w:sz w:val="24"/>
        </w:rPr>
        <w:t>贮存</w:t>
      </w:r>
      <w:bookmarkEnd w:id="31"/>
      <w:bookmarkEnd w:id="32"/>
      <w:bookmarkEnd w:id="33"/>
      <w:bookmarkEnd w:id="34"/>
      <w:r>
        <w:rPr>
          <w:rFonts w:eastAsia="黑体" w:cs="黑体" w:hint="eastAsia"/>
          <w:kern w:val="0"/>
          <w:sz w:val="24"/>
        </w:rPr>
        <w:t>：</w:t>
      </w:r>
      <w:r>
        <w:rPr>
          <w:rFonts w:hint="eastAsia"/>
          <w:kern w:val="0"/>
          <w:sz w:val="24"/>
        </w:rPr>
        <w:t>检测装置应贮存在通风、清洁、阴凉、干燥的场所，远离热源和污染源，严禁与危险有害物品混放。正常储运条件下，检测装置自出厂之日起</w:t>
      </w:r>
      <w:r>
        <w:rPr>
          <w:rFonts w:hint="eastAsia"/>
          <w:kern w:val="0"/>
          <w:sz w:val="24"/>
        </w:rPr>
        <w:t>12</w:t>
      </w:r>
      <w:r>
        <w:rPr>
          <w:rFonts w:hint="eastAsia"/>
          <w:kern w:val="0"/>
          <w:sz w:val="24"/>
        </w:rPr>
        <w:t>个月内，不应因包装贮存不当引起锈蚀、</w:t>
      </w:r>
      <w:proofErr w:type="gramStart"/>
      <w:r>
        <w:rPr>
          <w:rFonts w:hint="eastAsia"/>
          <w:kern w:val="0"/>
          <w:sz w:val="24"/>
        </w:rPr>
        <w:t>霉损等</w:t>
      </w:r>
      <w:proofErr w:type="gramEnd"/>
      <w:r>
        <w:rPr>
          <w:rFonts w:hint="eastAsia"/>
          <w:kern w:val="0"/>
          <w:sz w:val="24"/>
        </w:rPr>
        <w:t>。</w:t>
      </w:r>
    </w:p>
    <w:p w14:paraId="20E9D7FE" w14:textId="77777777" w:rsidR="000A2CD4" w:rsidRDefault="00000000">
      <w:pPr>
        <w:spacing w:line="480" w:lineRule="exact"/>
        <w:ind w:firstLineChars="196" w:firstLine="470"/>
        <w:rPr>
          <w:rFonts w:eastAsia="黑体"/>
          <w:sz w:val="24"/>
        </w:rPr>
      </w:pPr>
      <w:r>
        <w:rPr>
          <w:rFonts w:eastAsia="黑体"/>
          <w:sz w:val="24"/>
        </w:rPr>
        <w:t>（三）解决的主要问题</w:t>
      </w:r>
    </w:p>
    <w:p w14:paraId="3A2E52D9" w14:textId="77777777" w:rsidR="000A2CD4" w:rsidRDefault="00000000">
      <w:pPr>
        <w:spacing w:line="360" w:lineRule="auto"/>
        <w:ind w:firstLine="420"/>
        <w:rPr>
          <w:sz w:val="24"/>
        </w:rPr>
      </w:pPr>
      <w:r>
        <w:rPr>
          <w:sz w:val="24"/>
        </w:rPr>
        <w:t>本标准主要解决了</w:t>
      </w:r>
      <w:r>
        <w:rPr>
          <w:rFonts w:hint="eastAsia"/>
          <w:sz w:val="24"/>
        </w:rPr>
        <w:t>检测装置</w:t>
      </w:r>
      <w:r>
        <w:rPr>
          <w:sz w:val="24"/>
        </w:rPr>
        <w:t>的</w:t>
      </w:r>
      <w:r>
        <w:rPr>
          <w:rFonts w:hint="eastAsia"/>
          <w:sz w:val="24"/>
        </w:rPr>
        <w:t>材质选用、安全卫生、制造质量、安全防护、电气安全</w:t>
      </w:r>
      <w:r>
        <w:rPr>
          <w:sz w:val="24"/>
        </w:rPr>
        <w:t>等，规定了</w:t>
      </w:r>
      <w:r>
        <w:rPr>
          <w:rFonts w:hint="eastAsia"/>
          <w:kern w:val="0"/>
          <w:sz w:val="24"/>
        </w:rPr>
        <w:t>检测响应时间、蛋白质含量检测误差、蛋白质含量检测准确率、蛋白质含量检测标准差</w:t>
      </w:r>
      <w:r>
        <w:rPr>
          <w:sz w:val="24"/>
        </w:rPr>
        <w:t>等技术指标以及技术要求、试验方法、检验规则、标志、包装、运输和贮存，填补了国内空白。</w:t>
      </w:r>
      <w:r>
        <w:rPr>
          <w:rFonts w:hint="eastAsia"/>
          <w:sz w:val="24"/>
        </w:rPr>
        <w:t>目前，肉品品质检测主要依赖于一些传统的理化测试方法。已有</w:t>
      </w:r>
      <w:r>
        <w:rPr>
          <w:rFonts w:hint="eastAsia"/>
          <w:sz w:val="24"/>
        </w:rPr>
        <w:t>JB/T 14619-2022</w:t>
      </w:r>
      <w:r>
        <w:rPr>
          <w:rFonts w:hint="eastAsia"/>
          <w:sz w:val="24"/>
        </w:rPr>
        <w:t>《生鲜肉营养成分无损检测装置》</w:t>
      </w:r>
      <w:r>
        <w:rPr>
          <w:rFonts w:hint="eastAsia"/>
          <w:sz w:val="24"/>
        </w:rPr>
        <w:t>1</w:t>
      </w:r>
      <w:r>
        <w:rPr>
          <w:rFonts w:hint="eastAsia"/>
          <w:sz w:val="24"/>
        </w:rPr>
        <w:t>项相关行业标准。</w:t>
      </w:r>
      <w:r>
        <w:rPr>
          <w:rFonts w:hint="eastAsia"/>
          <w:sz w:val="24"/>
        </w:rPr>
        <w:t>JB/T 14619-2022</w:t>
      </w:r>
      <w:r>
        <w:rPr>
          <w:rFonts w:hint="eastAsia"/>
          <w:sz w:val="24"/>
        </w:rPr>
        <w:t>《生鲜肉营养成分无损检测装置》行业标准涉</w:t>
      </w:r>
      <w:r>
        <w:rPr>
          <w:rFonts w:hint="eastAsia"/>
          <w:sz w:val="24"/>
        </w:rPr>
        <w:lastRenderedPageBreak/>
        <w:t>及生鲜肉营养成分的无损检测，其中包括蛋白质含量的测定。特色猪肉蛋白质含量检测装置在特色猪肉蛋白质检测方面具有更强的针对性，而且进一步细化了</w:t>
      </w:r>
      <w:r>
        <w:rPr>
          <w:rFonts w:hint="eastAsia"/>
          <w:sz w:val="24"/>
        </w:rPr>
        <w:t>JB/T 14619-2022</w:t>
      </w:r>
      <w:r>
        <w:rPr>
          <w:rFonts w:hint="eastAsia"/>
          <w:sz w:val="24"/>
        </w:rPr>
        <w:t>中关于蛋白质检测的部分。</w:t>
      </w:r>
    </w:p>
    <w:p w14:paraId="1F5B8C05" w14:textId="77777777" w:rsidR="000A2CD4" w:rsidRDefault="00000000">
      <w:pPr>
        <w:spacing w:line="480" w:lineRule="exact"/>
        <w:ind w:firstLine="482"/>
        <w:rPr>
          <w:rFonts w:eastAsia="黑体"/>
          <w:sz w:val="24"/>
        </w:rPr>
      </w:pPr>
      <w:r>
        <w:rPr>
          <w:rFonts w:eastAsia="黑体"/>
          <w:sz w:val="24"/>
        </w:rPr>
        <w:t>三、主要试验（或验证）情况分析</w:t>
      </w:r>
    </w:p>
    <w:p w14:paraId="6B761581" w14:textId="77777777" w:rsidR="000A2CD4" w:rsidRDefault="00000000">
      <w:pPr>
        <w:spacing w:line="480" w:lineRule="exact"/>
        <w:ind w:firstLine="480"/>
        <w:rPr>
          <w:sz w:val="24"/>
        </w:rPr>
      </w:pPr>
      <w:r>
        <w:rPr>
          <w:sz w:val="24"/>
        </w:rPr>
        <w:t>标准起草组考察和了解了</w:t>
      </w:r>
      <w:r>
        <w:rPr>
          <w:rFonts w:hint="eastAsia"/>
          <w:sz w:val="24"/>
        </w:rPr>
        <w:t>检测装置</w:t>
      </w:r>
      <w:r>
        <w:rPr>
          <w:sz w:val="24"/>
        </w:rPr>
        <w:t>试验验证情况，查阅了</w:t>
      </w:r>
      <w:r>
        <w:rPr>
          <w:rFonts w:hint="eastAsia"/>
          <w:sz w:val="24"/>
        </w:rPr>
        <w:t>检测装置</w:t>
      </w:r>
      <w:r>
        <w:rPr>
          <w:sz w:val="24"/>
        </w:rPr>
        <w:t>试验报告等相关资料，尤其对试验方法以及各项技术指标进行了分析研究。标准起草组认为，</w:t>
      </w:r>
      <w:r>
        <w:rPr>
          <w:rFonts w:hint="eastAsia"/>
          <w:sz w:val="24"/>
        </w:rPr>
        <w:t>检测装置</w:t>
      </w:r>
      <w:r>
        <w:rPr>
          <w:sz w:val="24"/>
        </w:rPr>
        <w:t>试验方法科学合理，各项技术指标先进、准确、真实，与本标准相关内容基本一致。</w:t>
      </w:r>
    </w:p>
    <w:p w14:paraId="0B4831E0" w14:textId="77777777" w:rsidR="000A2CD4" w:rsidRDefault="00000000">
      <w:pPr>
        <w:spacing w:line="480" w:lineRule="exact"/>
        <w:ind w:firstLine="482"/>
        <w:rPr>
          <w:rFonts w:eastAsia="黑体"/>
          <w:sz w:val="24"/>
        </w:rPr>
      </w:pPr>
      <w:r>
        <w:rPr>
          <w:rFonts w:eastAsia="黑体" w:hint="eastAsia"/>
          <w:sz w:val="24"/>
        </w:rPr>
        <w:t>四</w:t>
      </w:r>
      <w:r>
        <w:rPr>
          <w:rFonts w:eastAsia="黑体"/>
          <w:sz w:val="24"/>
        </w:rPr>
        <w:t>、明确标准中涉及专利情况</w:t>
      </w:r>
    </w:p>
    <w:p w14:paraId="383CD658" w14:textId="77777777" w:rsidR="000A2CD4" w:rsidRDefault="00000000">
      <w:pPr>
        <w:spacing w:line="360" w:lineRule="auto"/>
        <w:ind w:firstLine="420"/>
        <w:rPr>
          <w:sz w:val="24"/>
        </w:rPr>
      </w:pPr>
      <w:r>
        <w:rPr>
          <w:sz w:val="24"/>
        </w:rPr>
        <w:t>本标准不涉及专利问题。</w:t>
      </w:r>
    </w:p>
    <w:p w14:paraId="72B4D3AF" w14:textId="77777777" w:rsidR="000A2CD4" w:rsidRDefault="00000000">
      <w:pPr>
        <w:numPr>
          <w:ilvl w:val="0"/>
          <w:numId w:val="2"/>
        </w:numPr>
        <w:spacing w:line="360" w:lineRule="auto"/>
        <w:ind w:firstLine="420"/>
        <w:rPr>
          <w:rFonts w:eastAsia="黑体"/>
          <w:kern w:val="0"/>
          <w:sz w:val="24"/>
        </w:rPr>
      </w:pPr>
      <w:r>
        <w:rPr>
          <w:rFonts w:eastAsia="黑体"/>
          <w:kern w:val="0"/>
          <w:sz w:val="24"/>
        </w:rPr>
        <w:t>预期达到的社会效益、对产业发展的作用等情况</w:t>
      </w:r>
    </w:p>
    <w:p w14:paraId="6CF4CF7D" w14:textId="77777777" w:rsidR="000A2CD4" w:rsidRDefault="00000000">
      <w:pPr>
        <w:spacing w:line="480" w:lineRule="exact"/>
        <w:ind w:firstLine="482"/>
        <w:rPr>
          <w:sz w:val="24"/>
        </w:rPr>
      </w:pPr>
      <w:r>
        <w:rPr>
          <w:rFonts w:ascii="黑体" w:eastAsia="黑体" w:hAnsi="黑体" w:cs="黑体" w:hint="eastAsia"/>
          <w:sz w:val="24"/>
        </w:rPr>
        <w:t>1、预期达到的社会效益：</w:t>
      </w:r>
      <w:r>
        <w:rPr>
          <w:sz w:val="24"/>
        </w:rPr>
        <w:t>本标准实施后，可以</w:t>
      </w:r>
      <w:proofErr w:type="gramStart"/>
      <w:r>
        <w:rPr>
          <w:sz w:val="24"/>
        </w:rPr>
        <w:t>被设备</w:t>
      </w:r>
      <w:proofErr w:type="gramEnd"/>
      <w:r>
        <w:rPr>
          <w:sz w:val="24"/>
        </w:rPr>
        <w:t>制造单位、使用单位、质量监督和检测单位等广泛采用，有利于指导制造、使用、运输、储存、检测和管理，有利于产品质量管控和提高企业技术水平，有利于产品推广应用和提高市场竞争力。因此，本标准的实施，无论对设备制造单位还是使用单位，必将产生明显的经济效益和社会效益。</w:t>
      </w:r>
    </w:p>
    <w:p w14:paraId="49C8A2A7" w14:textId="77777777" w:rsidR="000A2CD4" w:rsidRDefault="00000000">
      <w:pPr>
        <w:spacing w:line="480" w:lineRule="exact"/>
        <w:ind w:firstLine="482"/>
        <w:rPr>
          <w:kern w:val="0"/>
          <w:sz w:val="24"/>
        </w:rPr>
      </w:pPr>
      <w:r>
        <w:rPr>
          <w:rFonts w:ascii="黑体" w:eastAsia="黑体" w:hAnsi="黑体" w:cs="黑体" w:hint="eastAsia"/>
          <w:sz w:val="24"/>
        </w:rPr>
        <w:t>2、</w:t>
      </w:r>
      <w:r>
        <w:rPr>
          <w:rFonts w:ascii="黑体" w:eastAsia="黑体" w:hAnsi="黑体" w:cs="黑体" w:hint="eastAsia"/>
          <w:kern w:val="0"/>
          <w:sz w:val="24"/>
        </w:rPr>
        <w:t>对产业发展的作用：</w:t>
      </w:r>
      <w:r>
        <w:rPr>
          <w:sz w:val="24"/>
        </w:rPr>
        <w:t>本标准属于产业结构调整与优化升级的制定项目，填补了</w:t>
      </w:r>
      <w:r>
        <w:rPr>
          <w:rFonts w:hint="eastAsia"/>
          <w:sz w:val="24"/>
        </w:rPr>
        <w:t>检测装置</w:t>
      </w:r>
      <w:r>
        <w:rPr>
          <w:sz w:val="24"/>
        </w:rPr>
        <w:t>产品标准的空白，</w:t>
      </w:r>
      <w:r>
        <w:rPr>
          <w:rFonts w:hint="eastAsia"/>
          <w:sz w:val="24"/>
        </w:rPr>
        <w:t>有望成为未来技术发展的基础。本标准不仅能够推动相关技术的应用和发展，还能为肉品质量控制提供统一的仪器准则。随着技术的成熟和标准的实施，预计将对产业发展产生积极影响，提高产品质量，增强市场竞争力，并支持产业的可持续发展。</w:t>
      </w:r>
      <w:r>
        <w:rPr>
          <w:sz w:val="24"/>
        </w:rPr>
        <w:t>对于维护市场秩序、规范企业行为、</w:t>
      </w:r>
      <w:r>
        <w:rPr>
          <w:kern w:val="0"/>
          <w:sz w:val="24"/>
        </w:rPr>
        <w:t>保障产品质量和</w:t>
      </w:r>
      <w:r>
        <w:rPr>
          <w:sz w:val="24"/>
        </w:rPr>
        <w:t>推进产业技术升级</w:t>
      </w:r>
      <w:r>
        <w:rPr>
          <w:kern w:val="0"/>
          <w:sz w:val="24"/>
        </w:rPr>
        <w:t>起到关键性的支撑作用</w:t>
      </w:r>
      <w:r>
        <w:rPr>
          <w:sz w:val="24"/>
        </w:rPr>
        <w:t>。</w:t>
      </w:r>
    </w:p>
    <w:p w14:paraId="634FE78F" w14:textId="77777777" w:rsidR="000A2CD4" w:rsidRDefault="00000000">
      <w:pPr>
        <w:spacing w:line="480" w:lineRule="exact"/>
        <w:ind w:firstLineChars="200" w:firstLine="480"/>
        <w:rPr>
          <w:rFonts w:eastAsia="黑体"/>
          <w:sz w:val="24"/>
        </w:rPr>
      </w:pPr>
      <w:r>
        <w:rPr>
          <w:rFonts w:eastAsia="黑体"/>
          <w:sz w:val="24"/>
        </w:rPr>
        <w:t>六、与国际、国外对比情况</w:t>
      </w:r>
      <w:r>
        <w:rPr>
          <w:rFonts w:eastAsia="黑体"/>
          <w:sz w:val="24"/>
        </w:rPr>
        <w:t xml:space="preserve"> </w:t>
      </w:r>
    </w:p>
    <w:p w14:paraId="752FDF41" w14:textId="77777777" w:rsidR="000A2CD4" w:rsidRDefault="00000000">
      <w:pPr>
        <w:spacing w:line="480" w:lineRule="exact"/>
        <w:ind w:firstLine="482"/>
        <w:jc w:val="left"/>
        <w:rPr>
          <w:sz w:val="24"/>
        </w:rPr>
      </w:pPr>
      <w:r>
        <w:rPr>
          <w:sz w:val="24"/>
        </w:rPr>
        <w:t>本标准没有采用国际标准。</w:t>
      </w:r>
    </w:p>
    <w:p w14:paraId="3B983112" w14:textId="77777777" w:rsidR="000A2CD4" w:rsidRDefault="00000000">
      <w:pPr>
        <w:spacing w:line="480" w:lineRule="exact"/>
        <w:ind w:firstLine="482"/>
        <w:jc w:val="left"/>
        <w:rPr>
          <w:sz w:val="24"/>
        </w:rPr>
      </w:pPr>
      <w:r>
        <w:rPr>
          <w:sz w:val="24"/>
        </w:rPr>
        <w:t>本标准制定过程中未查到同类国际、国外标准。</w:t>
      </w:r>
    </w:p>
    <w:p w14:paraId="21D177DD" w14:textId="77777777" w:rsidR="000A2CD4" w:rsidRDefault="00000000">
      <w:pPr>
        <w:spacing w:line="480" w:lineRule="exact"/>
        <w:ind w:firstLine="482"/>
        <w:jc w:val="left"/>
        <w:rPr>
          <w:sz w:val="24"/>
        </w:rPr>
      </w:pPr>
      <w:r>
        <w:rPr>
          <w:sz w:val="24"/>
        </w:rPr>
        <w:t>本标准制定过程中未测试国外的样品、样机。</w:t>
      </w:r>
    </w:p>
    <w:p w14:paraId="62C9E1F5" w14:textId="77777777" w:rsidR="000A2CD4" w:rsidRDefault="00000000">
      <w:pPr>
        <w:spacing w:line="480" w:lineRule="exact"/>
        <w:ind w:firstLine="482"/>
        <w:jc w:val="left"/>
        <w:rPr>
          <w:sz w:val="24"/>
        </w:rPr>
      </w:pPr>
      <w:r>
        <w:rPr>
          <w:sz w:val="24"/>
        </w:rPr>
        <w:t>本标准水平为国内先进水平。</w:t>
      </w:r>
    </w:p>
    <w:p w14:paraId="6025C8DA" w14:textId="77777777" w:rsidR="000A2CD4" w:rsidRDefault="00000000">
      <w:pPr>
        <w:spacing w:line="480" w:lineRule="exact"/>
        <w:ind w:firstLine="482"/>
        <w:jc w:val="left"/>
        <w:rPr>
          <w:rFonts w:eastAsia="黑体"/>
          <w:sz w:val="24"/>
        </w:rPr>
      </w:pPr>
      <w:r>
        <w:rPr>
          <w:rFonts w:eastAsia="黑体"/>
          <w:sz w:val="24"/>
        </w:rPr>
        <w:t>七、与现行相关法律、法规、规章及相关标准，特别是强制性标准的协调性</w:t>
      </w:r>
    </w:p>
    <w:p w14:paraId="0C25EAEE" w14:textId="77777777" w:rsidR="000A2CD4" w:rsidRDefault="00000000">
      <w:pPr>
        <w:spacing w:line="480" w:lineRule="exact"/>
        <w:ind w:firstLineChars="200" w:firstLine="480"/>
        <w:rPr>
          <w:sz w:val="24"/>
        </w:rPr>
      </w:pPr>
      <w:r>
        <w:rPr>
          <w:sz w:val="24"/>
        </w:rPr>
        <w:lastRenderedPageBreak/>
        <w:t>本标准与现行相关法律、法规、规章及相关标准协调一致。</w:t>
      </w:r>
    </w:p>
    <w:p w14:paraId="399C77F3" w14:textId="77777777" w:rsidR="000A2CD4" w:rsidRDefault="00000000">
      <w:pPr>
        <w:spacing w:line="480" w:lineRule="exact"/>
        <w:ind w:firstLineChars="200" w:firstLine="480"/>
        <w:rPr>
          <w:rFonts w:eastAsia="黑体"/>
          <w:sz w:val="24"/>
        </w:rPr>
      </w:pPr>
      <w:r>
        <w:rPr>
          <w:rFonts w:eastAsia="黑体"/>
          <w:sz w:val="24"/>
        </w:rPr>
        <w:t>八、重大分歧意见的处理经过和依据</w:t>
      </w:r>
    </w:p>
    <w:p w14:paraId="15A33102" w14:textId="77777777" w:rsidR="000A2CD4" w:rsidRDefault="00000000">
      <w:pPr>
        <w:spacing w:line="480" w:lineRule="exact"/>
        <w:ind w:firstLineChars="200" w:firstLine="480"/>
        <w:rPr>
          <w:sz w:val="24"/>
        </w:rPr>
      </w:pPr>
      <w:r>
        <w:rPr>
          <w:sz w:val="24"/>
        </w:rPr>
        <w:t>无。</w:t>
      </w:r>
    </w:p>
    <w:p w14:paraId="6E7305D5" w14:textId="77777777" w:rsidR="000A2CD4" w:rsidRDefault="00000000">
      <w:pPr>
        <w:spacing w:line="480" w:lineRule="exact"/>
        <w:ind w:firstLineChars="200" w:firstLine="480"/>
        <w:rPr>
          <w:rFonts w:eastAsia="黑体"/>
          <w:sz w:val="24"/>
        </w:rPr>
      </w:pPr>
      <w:r>
        <w:rPr>
          <w:rFonts w:eastAsia="黑体"/>
          <w:sz w:val="24"/>
        </w:rPr>
        <w:t>九、贯彻标准的要求和措施建议</w:t>
      </w:r>
    </w:p>
    <w:p w14:paraId="2BEB7EED" w14:textId="77777777" w:rsidR="000A2CD4" w:rsidRDefault="00000000">
      <w:pPr>
        <w:spacing w:line="480" w:lineRule="exact"/>
        <w:ind w:firstLineChars="200" w:firstLine="480"/>
        <w:rPr>
          <w:sz w:val="24"/>
        </w:rPr>
      </w:pPr>
      <w:r>
        <w:rPr>
          <w:sz w:val="24"/>
        </w:rPr>
        <w:t>建议本标准批准发布</w:t>
      </w:r>
      <w:r>
        <w:rPr>
          <w:sz w:val="24"/>
        </w:rPr>
        <w:t>1</w:t>
      </w:r>
      <w:r>
        <w:rPr>
          <w:sz w:val="24"/>
        </w:rPr>
        <w:t>个月后实施。</w:t>
      </w:r>
    </w:p>
    <w:p w14:paraId="31D8C76E" w14:textId="77777777" w:rsidR="000A2CD4" w:rsidRDefault="00000000">
      <w:pPr>
        <w:spacing w:line="480" w:lineRule="exact"/>
        <w:ind w:firstLineChars="200" w:firstLine="480"/>
        <w:rPr>
          <w:rFonts w:eastAsia="黑体"/>
          <w:sz w:val="24"/>
        </w:rPr>
      </w:pPr>
      <w:r>
        <w:rPr>
          <w:rFonts w:eastAsia="黑体"/>
          <w:sz w:val="24"/>
        </w:rPr>
        <w:t>十、废止现行相关标准的建议</w:t>
      </w:r>
    </w:p>
    <w:p w14:paraId="0424D643" w14:textId="77777777" w:rsidR="000A2CD4" w:rsidRDefault="00000000">
      <w:pPr>
        <w:spacing w:line="480" w:lineRule="exact"/>
        <w:ind w:firstLineChars="200" w:firstLine="480"/>
        <w:rPr>
          <w:sz w:val="24"/>
        </w:rPr>
      </w:pPr>
      <w:r>
        <w:rPr>
          <w:sz w:val="24"/>
        </w:rPr>
        <w:t>无。</w:t>
      </w:r>
    </w:p>
    <w:p w14:paraId="3E4623E5" w14:textId="77777777" w:rsidR="000A2CD4" w:rsidRDefault="00000000">
      <w:pPr>
        <w:spacing w:line="480" w:lineRule="exact"/>
        <w:ind w:firstLineChars="200" w:firstLine="480"/>
        <w:rPr>
          <w:rFonts w:eastAsia="黑体"/>
          <w:sz w:val="24"/>
        </w:rPr>
      </w:pPr>
      <w:r>
        <w:rPr>
          <w:rFonts w:eastAsia="黑体"/>
          <w:sz w:val="24"/>
        </w:rPr>
        <w:t>十一、其他应予说明的事项</w:t>
      </w:r>
    </w:p>
    <w:p w14:paraId="2D60132F" w14:textId="77777777" w:rsidR="000A2CD4" w:rsidRDefault="00000000">
      <w:pPr>
        <w:spacing w:line="480" w:lineRule="exact"/>
        <w:ind w:firstLineChars="200" w:firstLine="480"/>
      </w:pPr>
      <w:r>
        <w:rPr>
          <w:sz w:val="24"/>
        </w:rPr>
        <w:t>无。</w:t>
      </w:r>
    </w:p>
    <w:p w14:paraId="49C64E96" w14:textId="77777777" w:rsidR="000A2CD4" w:rsidRDefault="000A2CD4">
      <w:pPr>
        <w:spacing w:line="360" w:lineRule="auto"/>
        <w:ind w:firstLineChars="200" w:firstLine="480"/>
        <w:jc w:val="left"/>
        <w:rPr>
          <w:sz w:val="24"/>
        </w:rPr>
      </w:pPr>
    </w:p>
    <w:sectPr w:rsidR="000A2C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A808C" w14:textId="77777777" w:rsidR="00F93EC0" w:rsidRDefault="00F93EC0">
      <w:r>
        <w:separator/>
      </w:r>
    </w:p>
  </w:endnote>
  <w:endnote w:type="continuationSeparator" w:id="0">
    <w:p w14:paraId="2DC2F5E4" w14:textId="77777777" w:rsidR="00F93EC0" w:rsidRDefault="00F9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105796"/>
    </w:sdtPr>
    <w:sdtContent>
      <w:p w14:paraId="64028735" w14:textId="77777777" w:rsidR="000A2CD4" w:rsidRDefault="00000000">
        <w:pPr>
          <w:pStyle w:val="a7"/>
          <w:jc w:val="center"/>
        </w:pPr>
        <w:r>
          <w:fldChar w:fldCharType="begin"/>
        </w:r>
        <w:r>
          <w:instrText>PAGE   \* MERGEFORMAT</w:instrText>
        </w:r>
        <w:r>
          <w:fldChar w:fldCharType="separate"/>
        </w:r>
        <w:r>
          <w:rPr>
            <w:lang w:val="zh-CN"/>
          </w:rPr>
          <w:t>17</w:t>
        </w:r>
        <w:r>
          <w:fldChar w:fldCharType="end"/>
        </w:r>
      </w:p>
    </w:sdtContent>
  </w:sdt>
  <w:p w14:paraId="5009F1E4" w14:textId="77777777" w:rsidR="000A2CD4" w:rsidRDefault="000A2C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A3D33" w14:textId="77777777" w:rsidR="00F93EC0" w:rsidRDefault="00F93EC0">
      <w:r>
        <w:separator/>
      </w:r>
    </w:p>
  </w:footnote>
  <w:footnote w:type="continuationSeparator" w:id="0">
    <w:p w14:paraId="467705C6" w14:textId="77777777" w:rsidR="00F93EC0" w:rsidRDefault="00F93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086E95"/>
    <w:multiLevelType w:val="singleLevel"/>
    <w:tmpl w:val="A7086E95"/>
    <w:lvl w:ilvl="0">
      <w:start w:val="1"/>
      <w:numFmt w:val="chineseCounting"/>
      <w:suff w:val="nothing"/>
      <w:lvlText w:val="%1、"/>
      <w:lvlJc w:val="left"/>
      <w:rPr>
        <w:rFonts w:hint="eastAsia"/>
      </w:rPr>
    </w:lvl>
  </w:abstractNum>
  <w:abstractNum w:abstractNumId="1" w15:restartNumberingAfterBreak="0">
    <w:nsid w:val="0081CE20"/>
    <w:multiLevelType w:val="singleLevel"/>
    <w:tmpl w:val="0081CE20"/>
    <w:lvl w:ilvl="0">
      <w:start w:val="5"/>
      <w:numFmt w:val="chineseCounting"/>
      <w:suff w:val="nothing"/>
      <w:lvlText w:val="%1、"/>
      <w:lvlJc w:val="left"/>
      <w:rPr>
        <w:rFonts w:hint="eastAsia"/>
      </w:rPr>
    </w:lvl>
  </w:abstractNum>
  <w:num w:numId="1" w16cid:durableId="1894537537">
    <w:abstractNumId w:val="0"/>
  </w:num>
  <w:num w:numId="2" w16cid:durableId="1352028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xNDG0sDA1tDQ0MLZU0lEKTi0uzszPAykwNK4FALYyC14tAAAA"/>
    <w:docVar w:name="commondata" w:val="eyJoZGlkIjoiMDFlMjM5NTEwMmNiOTI1MjJjYTgyMDk1YzE3ZGQzOTUifQ=="/>
  </w:docVars>
  <w:rsids>
    <w:rsidRoot w:val="00343C77"/>
    <w:rsid w:val="B7BDDD42"/>
    <w:rsid w:val="CAD98917"/>
    <w:rsid w:val="CF7F4F57"/>
    <w:rsid w:val="E7DF6B56"/>
    <w:rsid w:val="FBFF4A4E"/>
    <w:rsid w:val="FD9BD80B"/>
    <w:rsid w:val="FFFE43D1"/>
    <w:rsid w:val="00001107"/>
    <w:rsid w:val="00003A86"/>
    <w:rsid w:val="00012E2C"/>
    <w:rsid w:val="00013591"/>
    <w:rsid w:val="000223EF"/>
    <w:rsid w:val="0002369F"/>
    <w:rsid w:val="00027000"/>
    <w:rsid w:val="000277D5"/>
    <w:rsid w:val="0005788A"/>
    <w:rsid w:val="000849C6"/>
    <w:rsid w:val="000858E6"/>
    <w:rsid w:val="0009159A"/>
    <w:rsid w:val="00091F4A"/>
    <w:rsid w:val="00092424"/>
    <w:rsid w:val="000A2CD4"/>
    <w:rsid w:val="000C272B"/>
    <w:rsid w:val="0010248C"/>
    <w:rsid w:val="00106BE7"/>
    <w:rsid w:val="00117785"/>
    <w:rsid w:val="00122252"/>
    <w:rsid w:val="00123C29"/>
    <w:rsid w:val="001415AF"/>
    <w:rsid w:val="00152278"/>
    <w:rsid w:val="00157BA7"/>
    <w:rsid w:val="00167BA0"/>
    <w:rsid w:val="00170DAE"/>
    <w:rsid w:val="001774B3"/>
    <w:rsid w:val="0018057E"/>
    <w:rsid w:val="00184D7D"/>
    <w:rsid w:val="00187E83"/>
    <w:rsid w:val="00197DFD"/>
    <w:rsid w:val="001B21C5"/>
    <w:rsid w:val="001C053D"/>
    <w:rsid w:val="001C3877"/>
    <w:rsid w:val="001C4E85"/>
    <w:rsid w:val="001D07F2"/>
    <w:rsid w:val="001E6FDE"/>
    <w:rsid w:val="001F1F7F"/>
    <w:rsid w:val="001F28B8"/>
    <w:rsid w:val="002013FD"/>
    <w:rsid w:val="00201ED6"/>
    <w:rsid w:val="002046D9"/>
    <w:rsid w:val="00205C2A"/>
    <w:rsid w:val="00215435"/>
    <w:rsid w:val="00222CD9"/>
    <w:rsid w:val="002334B9"/>
    <w:rsid w:val="0023791B"/>
    <w:rsid w:val="00246169"/>
    <w:rsid w:val="00256822"/>
    <w:rsid w:val="00264428"/>
    <w:rsid w:val="00270EA5"/>
    <w:rsid w:val="00277C41"/>
    <w:rsid w:val="00287679"/>
    <w:rsid w:val="00290F2D"/>
    <w:rsid w:val="00291925"/>
    <w:rsid w:val="00291CF6"/>
    <w:rsid w:val="00292846"/>
    <w:rsid w:val="00293A06"/>
    <w:rsid w:val="00294F2B"/>
    <w:rsid w:val="002A48DB"/>
    <w:rsid w:val="002A59A5"/>
    <w:rsid w:val="002B0F6C"/>
    <w:rsid w:val="002C532B"/>
    <w:rsid w:val="002E245D"/>
    <w:rsid w:val="002E4CF6"/>
    <w:rsid w:val="002E4F32"/>
    <w:rsid w:val="002F1482"/>
    <w:rsid w:val="002F25D0"/>
    <w:rsid w:val="0030282F"/>
    <w:rsid w:val="00321E71"/>
    <w:rsid w:val="003259A3"/>
    <w:rsid w:val="00326144"/>
    <w:rsid w:val="0032657C"/>
    <w:rsid w:val="003322C2"/>
    <w:rsid w:val="00343C77"/>
    <w:rsid w:val="00344923"/>
    <w:rsid w:val="00346340"/>
    <w:rsid w:val="003538C7"/>
    <w:rsid w:val="00356B3A"/>
    <w:rsid w:val="0038114F"/>
    <w:rsid w:val="003831E5"/>
    <w:rsid w:val="00394563"/>
    <w:rsid w:val="003958EA"/>
    <w:rsid w:val="00396191"/>
    <w:rsid w:val="003A7855"/>
    <w:rsid w:val="003B2A68"/>
    <w:rsid w:val="003B4DE3"/>
    <w:rsid w:val="003B653D"/>
    <w:rsid w:val="003C1186"/>
    <w:rsid w:val="003C2CCC"/>
    <w:rsid w:val="003C519E"/>
    <w:rsid w:val="003D377D"/>
    <w:rsid w:val="003D4462"/>
    <w:rsid w:val="003E672A"/>
    <w:rsid w:val="003F05FF"/>
    <w:rsid w:val="003F2ED0"/>
    <w:rsid w:val="003F585E"/>
    <w:rsid w:val="00401751"/>
    <w:rsid w:val="004045CD"/>
    <w:rsid w:val="00417537"/>
    <w:rsid w:val="004218B3"/>
    <w:rsid w:val="004249EB"/>
    <w:rsid w:val="00425F51"/>
    <w:rsid w:val="00435417"/>
    <w:rsid w:val="004460FE"/>
    <w:rsid w:val="0044769B"/>
    <w:rsid w:val="004509EA"/>
    <w:rsid w:val="0045575E"/>
    <w:rsid w:val="0046242A"/>
    <w:rsid w:val="00475AA5"/>
    <w:rsid w:val="0047652E"/>
    <w:rsid w:val="0048141E"/>
    <w:rsid w:val="00481DF2"/>
    <w:rsid w:val="00482669"/>
    <w:rsid w:val="00492C17"/>
    <w:rsid w:val="00496E45"/>
    <w:rsid w:val="00497C10"/>
    <w:rsid w:val="004A0E5C"/>
    <w:rsid w:val="004A16FF"/>
    <w:rsid w:val="004C0851"/>
    <w:rsid w:val="004C2A3A"/>
    <w:rsid w:val="004C588B"/>
    <w:rsid w:val="004D49C0"/>
    <w:rsid w:val="004F1CB7"/>
    <w:rsid w:val="004F65B9"/>
    <w:rsid w:val="004F7033"/>
    <w:rsid w:val="00504340"/>
    <w:rsid w:val="00504D8B"/>
    <w:rsid w:val="00507335"/>
    <w:rsid w:val="005078E7"/>
    <w:rsid w:val="00510FBB"/>
    <w:rsid w:val="005123A3"/>
    <w:rsid w:val="00512B53"/>
    <w:rsid w:val="005207BC"/>
    <w:rsid w:val="0052091A"/>
    <w:rsid w:val="00521903"/>
    <w:rsid w:val="00526105"/>
    <w:rsid w:val="00527B0D"/>
    <w:rsid w:val="00532602"/>
    <w:rsid w:val="00554F6C"/>
    <w:rsid w:val="00561583"/>
    <w:rsid w:val="00575B25"/>
    <w:rsid w:val="0058225C"/>
    <w:rsid w:val="00585E96"/>
    <w:rsid w:val="00590BED"/>
    <w:rsid w:val="00592B14"/>
    <w:rsid w:val="00596826"/>
    <w:rsid w:val="005A01C3"/>
    <w:rsid w:val="005B4803"/>
    <w:rsid w:val="005B55BA"/>
    <w:rsid w:val="005C3805"/>
    <w:rsid w:val="005C6C0E"/>
    <w:rsid w:val="005E36FF"/>
    <w:rsid w:val="005E609A"/>
    <w:rsid w:val="005F7003"/>
    <w:rsid w:val="006001F3"/>
    <w:rsid w:val="0061523E"/>
    <w:rsid w:val="00622E85"/>
    <w:rsid w:val="00624447"/>
    <w:rsid w:val="00625027"/>
    <w:rsid w:val="00626D68"/>
    <w:rsid w:val="00627588"/>
    <w:rsid w:val="00642EFC"/>
    <w:rsid w:val="006511A3"/>
    <w:rsid w:val="00665FC2"/>
    <w:rsid w:val="006827FB"/>
    <w:rsid w:val="006A5E9F"/>
    <w:rsid w:val="006A6AC6"/>
    <w:rsid w:val="006B104A"/>
    <w:rsid w:val="006B4929"/>
    <w:rsid w:val="006B752B"/>
    <w:rsid w:val="006C495A"/>
    <w:rsid w:val="006D2D35"/>
    <w:rsid w:val="006D42E1"/>
    <w:rsid w:val="006D6C4A"/>
    <w:rsid w:val="006D7AB6"/>
    <w:rsid w:val="006E02B0"/>
    <w:rsid w:val="006E0B9A"/>
    <w:rsid w:val="00705A40"/>
    <w:rsid w:val="00705A48"/>
    <w:rsid w:val="00706018"/>
    <w:rsid w:val="0071692F"/>
    <w:rsid w:val="00723E3D"/>
    <w:rsid w:val="00725300"/>
    <w:rsid w:val="00732FE0"/>
    <w:rsid w:val="00733E67"/>
    <w:rsid w:val="0073689B"/>
    <w:rsid w:val="007518E8"/>
    <w:rsid w:val="00753468"/>
    <w:rsid w:val="0075743B"/>
    <w:rsid w:val="0078161E"/>
    <w:rsid w:val="00791A3E"/>
    <w:rsid w:val="007A5336"/>
    <w:rsid w:val="007A7D44"/>
    <w:rsid w:val="007B0125"/>
    <w:rsid w:val="007B34C0"/>
    <w:rsid w:val="007B778F"/>
    <w:rsid w:val="007B7AF8"/>
    <w:rsid w:val="007D0184"/>
    <w:rsid w:val="007D33A7"/>
    <w:rsid w:val="007D3B70"/>
    <w:rsid w:val="007D4338"/>
    <w:rsid w:val="007E1303"/>
    <w:rsid w:val="007E35C3"/>
    <w:rsid w:val="007F7F82"/>
    <w:rsid w:val="00813572"/>
    <w:rsid w:val="00814801"/>
    <w:rsid w:val="008239C0"/>
    <w:rsid w:val="00825382"/>
    <w:rsid w:val="00827C5D"/>
    <w:rsid w:val="008329D0"/>
    <w:rsid w:val="00837C39"/>
    <w:rsid w:val="00844BD6"/>
    <w:rsid w:val="00852026"/>
    <w:rsid w:val="0085304C"/>
    <w:rsid w:val="00853C4A"/>
    <w:rsid w:val="008568C3"/>
    <w:rsid w:val="00865219"/>
    <w:rsid w:val="008702BA"/>
    <w:rsid w:val="00874D04"/>
    <w:rsid w:val="00882ADD"/>
    <w:rsid w:val="008874E5"/>
    <w:rsid w:val="0089551F"/>
    <w:rsid w:val="0089742E"/>
    <w:rsid w:val="008A216C"/>
    <w:rsid w:val="008A2CBA"/>
    <w:rsid w:val="008A551C"/>
    <w:rsid w:val="008A79A4"/>
    <w:rsid w:val="008B09FE"/>
    <w:rsid w:val="008B650E"/>
    <w:rsid w:val="008D0E15"/>
    <w:rsid w:val="008D14EF"/>
    <w:rsid w:val="008D4A5F"/>
    <w:rsid w:val="008F0888"/>
    <w:rsid w:val="008F0971"/>
    <w:rsid w:val="008F1101"/>
    <w:rsid w:val="008F667B"/>
    <w:rsid w:val="00910FDA"/>
    <w:rsid w:val="00911DA9"/>
    <w:rsid w:val="00922D72"/>
    <w:rsid w:val="00930DE5"/>
    <w:rsid w:val="00946D75"/>
    <w:rsid w:val="0095362A"/>
    <w:rsid w:val="009576DD"/>
    <w:rsid w:val="00960F3E"/>
    <w:rsid w:val="009658C1"/>
    <w:rsid w:val="00967F19"/>
    <w:rsid w:val="00972CB2"/>
    <w:rsid w:val="00984239"/>
    <w:rsid w:val="00993EF0"/>
    <w:rsid w:val="00997783"/>
    <w:rsid w:val="009977D3"/>
    <w:rsid w:val="009B646D"/>
    <w:rsid w:val="009B737A"/>
    <w:rsid w:val="009C2E3B"/>
    <w:rsid w:val="009C627C"/>
    <w:rsid w:val="009D4043"/>
    <w:rsid w:val="009E1DC8"/>
    <w:rsid w:val="009F037B"/>
    <w:rsid w:val="009F4421"/>
    <w:rsid w:val="009F6C5E"/>
    <w:rsid w:val="009F6EE9"/>
    <w:rsid w:val="00A02681"/>
    <w:rsid w:val="00A0557E"/>
    <w:rsid w:val="00A11803"/>
    <w:rsid w:val="00A24D23"/>
    <w:rsid w:val="00A31BCE"/>
    <w:rsid w:val="00A41DA4"/>
    <w:rsid w:val="00A470D3"/>
    <w:rsid w:val="00A50D6F"/>
    <w:rsid w:val="00A53679"/>
    <w:rsid w:val="00A560B3"/>
    <w:rsid w:val="00A562D0"/>
    <w:rsid w:val="00A5751A"/>
    <w:rsid w:val="00A660BF"/>
    <w:rsid w:val="00A67103"/>
    <w:rsid w:val="00A72CC0"/>
    <w:rsid w:val="00A738AD"/>
    <w:rsid w:val="00A73A95"/>
    <w:rsid w:val="00A73B72"/>
    <w:rsid w:val="00A82E66"/>
    <w:rsid w:val="00A85D12"/>
    <w:rsid w:val="00A923C4"/>
    <w:rsid w:val="00A941A9"/>
    <w:rsid w:val="00A955BF"/>
    <w:rsid w:val="00A96290"/>
    <w:rsid w:val="00AA0B3A"/>
    <w:rsid w:val="00AA0BBD"/>
    <w:rsid w:val="00AA6C65"/>
    <w:rsid w:val="00AB3572"/>
    <w:rsid w:val="00AB4E3F"/>
    <w:rsid w:val="00AC489E"/>
    <w:rsid w:val="00AC5A61"/>
    <w:rsid w:val="00AC6004"/>
    <w:rsid w:val="00AC6D4C"/>
    <w:rsid w:val="00AF505E"/>
    <w:rsid w:val="00AF6ADE"/>
    <w:rsid w:val="00AF7560"/>
    <w:rsid w:val="00AF7572"/>
    <w:rsid w:val="00B02FC6"/>
    <w:rsid w:val="00B0737F"/>
    <w:rsid w:val="00B13AF3"/>
    <w:rsid w:val="00B17F9E"/>
    <w:rsid w:val="00B27F44"/>
    <w:rsid w:val="00B3035D"/>
    <w:rsid w:val="00B31677"/>
    <w:rsid w:val="00B3653A"/>
    <w:rsid w:val="00B379C5"/>
    <w:rsid w:val="00B418DA"/>
    <w:rsid w:val="00B422A8"/>
    <w:rsid w:val="00B466D9"/>
    <w:rsid w:val="00B7007A"/>
    <w:rsid w:val="00B87753"/>
    <w:rsid w:val="00B95E57"/>
    <w:rsid w:val="00B9722E"/>
    <w:rsid w:val="00BB42EB"/>
    <w:rsid w:val="00BC472F"/>
    <w:rsid w:val="00BC7E17"/>
    <w:rsid w:val="00BD2FBC"/>
    <w:rsid w:val="00BE1157"/>
    <w:rsid w:val="00BF14E8"/>
    <w:rsid w:val="00BF3D1A"/>
    <w:rsid w:val="00BF3E4E"/>
    <w:rsid w:val="00C002C9"/>
    <w:rsid w:val="00C051DB"/>
    <w:rsid w:val="00C07B26"/>
    <w:rsid w:val="00C11754"/>
    <w:rsid w:val="00C13CD5"/>
    <w:rsid w:val="00C15D61"/>
    <w:rsid w:val="00C17D67"/>
    <w:rsid w:val="00C3036A"/>
    <w:rsid w:val="00C34E2E"/>
    <w:rsid w:val="00C453FF"/>
    <w:rsid w:val="00C63D25"/>
    <w:rsid w:val="00C63EA0"/>
    <w:rsid w:val="00C669AB"/>
    <w:rsid w:val="00C7294B"/>
    <w:rsid w:val="00C76E32"/>
    <w:rsid w:val="00C80402"/>
    <w:rsid w:val="00C83D34"/>
    <w:rsid w:val="00C92BDF"/>
    <w:rsid w:val="00CB3C8F"/>
    <w:rsid w:val="00CD7E0B"/>
    <w:rsid w:val="00CE1067"/>
    <w:rsid w:val="00CE2DDE"/>
    <w:rsid w:val="00CE4FCA"/>
    <w:rsid w:val="00CF1CA0"/>
    <w:rsid w:val="00CF6810"/>
    <w:rsid w:val="00D03870"/>
    <w:rsid w:val="00D04FE2"/>
    <w:rsid w:val="00D100D6"/>
    <w:rsid w:val="00D11984"/>
    <w:rsid w:val="00D13490"/>
    <w:rsid w:val="00D14E55"/>
    <w:rsid w:val="00D24DDA"/>
    <w:rsid w:val="00D30AE1"/>
    <w:rsid w:val="00D3101A"/>
    <w:rsid w:val="00D42E52"/>
    <w:rsid w:val="00D43CE3"/>
    <w:rsid w:val="00D45C6A"/>
    <w:rsid w:val="00D46AB4"/>
    <w:rsid w:val="00D5423E"/>
    <w:rsid w:val="00D55A23"/>
    <w:rsid w:val="00D636C9"/>
    <w:rsid w:val="00D659C9"/>
    <w:rsid w:val="00D661A8"/>
    <w:rsid w:val="00D6650A"/>
    <w:rsid w:val="00D76D1B"/>
    <w:rsid w:val="00D93826"/>
    <w:rsid w:val="00DA5E59"/>
    <w:rsid w:val="00DC24AF"/>
    <w:rsid w:val="00DC7168"/>
    <w:rsid w:val="00DD134E"/>
    <w:rsid w:val="00DD206E"/>
    <w:rsid w:val="00DD355C"/>
    <w:rsid w:val="00DE2BCA"/>
    <w:rsid w:val="00DE3CA5"/>
    <w:rsid w:val="00DF4910"/>
    <w:rsid w:val="00E22F08"/>
    <w:rsid w:val="00E26552"/>
    <w:rsid w:val="00E31113"/>
    <w:rsid w:val="00E31E70"/>
    <w:rsid w:val="00E33BE5"/>
    <w:rsid w:val="00E3483B"/>
    <w:rsid w:val="00E4242D"/>
    <w:rsid w:val="00E57B44"/>
    <w:rsid w:val="00E616B7"/>
    <w:rsid w:val="00E6267E"/>
    <w:rsid w:val="00E62ACD"/>
    <w:rsid w:val="00E65DC0"/>
    <w:rsid w:val="00E666F7"/>
    <w:rsid w:val="00E669F8"/>
    <w:rsid w:val="00E71219"/>
    <w:rsid w:val="00E72BE6"/>
    <w:rsid w:val="00E72D1C"/>
    <w:rsid w:val="00E812EB"/>
    <w:rsid w:val="00E825E1"/>
    <w:rsid w:val="00E87869"/>
    <w:rsid w:val="00E90054"/>
    <w:rsid w:val="00E9262A"/>
    <w:rsid w:val="00E963B3"/>
    <w:rsid w:val="00EA09FD"/>
    <w:rsid w:val="00EA502A"/>
    <w:rsid w:val="00EA636B"/>
    <w:rsid w:val="00EB0127"/>
    <w:rsid w:val="00EB0CD6"/>
    <w:rsid w:val="00EB696D"/>
    <w:rsid w:val="00ED0B2E"/>
    <w:rsid w:val="00ED5721"/>
    <w:rsid w:val="00ED5B64"/>
    <w:rsid w:val="00ED72BA"/>
    <w:rsid w:val="00EE3795"/>
    <w:rsid w:val="00EE617A"/>
    <w:rsid w:val="00EE70EA"/>
    <w:rsid w:val="00EE765A"/>
    <w:rsid w:val="00EF0A4E"/>
    <w:rsid w:val="00EF1C35"/>
    <w:rsid w:val="00EF3AB0"/>
    <w:rsid w:val="00EF49AC"/>
    <w:rsid w:val="00EF7351"/>
    <w:rsid w:val="00F027D3"/>
    <w:rsid w:val="00F069BE"/>
    <w:rsid w:val="00F11640"/>
    <w:rsid w:val="00F22DF8"/>
    <w:rsid w:val="00F262FA"/>
    <w:rsid w:val="00F305C0"/>
    <w:rsid w:val="00F5390C"/>
    <w:rsid w:val="00F622C8"/>
    <w:rsid w:val="00F636F4"/>
    <w:rsid w:val="00F6453D"/>
    <w:rsid w:val="00F71795"/>
    <w:rsid w:val="00F80243"/>
    <w:rsid w:val="00F902C1"/>
    <w:rsid w:val="00F902D1"/>
    <w:rsid w:val="00F908E8"/>
    <w:rsid w:val="00F93EC0"/>
    <w:rsid w:val="00F943C3"/>
    <w:rsid w:val="00F94ADD"/>
    <w:rsid w:val="00FA0108"/>
    <w:rsid w:val="00FA5A29"/>
    <w:rsid w:val="00FA5F6A"/>
    <w:rsid w:val="00FB0B54"/>
    <w:rsid w:val="00FD3E9F"/>
    <w:rsid w:val="00FD6260"/>
    <w:rsid w:val="00FD7372"/>
    <w:rsid w:val="00FE34F2"/>
    <w:rsid w:val="00FE50F2"/>
    <w:rsid w:val="00FE565F"/>
    <w:rsid w:val="00FF7D83"/>
    <w:rsid w:val="061D6E58"/>
    <w:rsid w:val="0A0250B2"/>
    <w:rsid w:val="0CAC7250"/>
    <w:rsid w:val="14B451D7"/>
    <w:rsid w:val="252D5FCC"/>
    <w:rsid w:val="2CFF1D81"/>
    <w:rsid w:val="2DDC5888"/>
    <w:rsid w:val="34E2662D"/>
    <w:rsid w:val="35F745D6"/>
    <w:rsid w:val="369B3E0D"/>
    <w:rsid w:val="3D283043"/>
    <w:rsid w:val="3D5E0D9C"/>
    <w:rsid w:val="3FBFDC2F"/>
    <w:rsid w:val="42C43A92"/>
    <w:rsid w:val="436462C9"/>
    <w:rsid w:val="43B27D8E"/>
    <w:rsid w:val="4D22142B"/>
    <w:rsid w:val="4EF7AA9E"/>
    <w:rsid w:val="548962C3"/>
    <w:rsid w:val="57266671"/>
    <w:rsid w:val="615E6C89"/>
    <w:rsid w:val="616402DD"/>
    <w:rsid w:val="676C4A3A"/>
    <w:rsid w:val="67BF17AA"/>
    <w:rsid w:val="720A0495"/>
    <w:rsid w:val="751122B7"/>
    <w:rsid w:val="7B711D02"/>
    <w:rsid w:val="7F29E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3C6F5"/>
  <w15:docId w15:val="{A7643FE7-A9E0-4A9E-AEEF-D7CCD08B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line="360" w:lineRule="auto"/>
      <w:ind w:firstLineChars="200" w:firstLine="440"/>
      <w:outlineLvl w:val="0"/>
    </w:pPr>
    <w:rPr>
      <w:rFonts w:ascii="仿宋" w:eastAsia="黑体" w:hAnsi="仿宋"/>
      <w:bCs/>
      <w:kern w:val="44"/>
      <w:sz w:val="22"/>
      <w:szCs w:val="44"/>
    </w:rPr>
  </w:style>
  <w:style w:type="paragraph" w:styleId="2">
    <w:name w:val="heading 2"/>
    <w:basedOn w:val="a"/>
    <w:next w:val="a"/>
    <w:link w:val="20"/>
    <w:uiPriority w:val="9"/>
    <w:unhideWhenUsed/>
    <w:qFormat/>
    <w:pPr>
      <w:keepNext/>
      <w:keepLines/>
      <w:spacing w:line="360" w:lineRule="auto"/>
      <w:ind w:firstLineChars="200" w:firstLine="442"/>
      <w:outlineLvl w:val="1"/>
    </w:pPr>
    <w:rPr>
      <w:rFonts w:ascii="Cambria" w:eastAsia="楷体" w:hAnsi="Cambria"/>
      <w:b/>
      <w:bCs/>
      <w:sz w:val="2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仿宋" w:eastAsia="黑体" w:hAnsi="仿宋" w:cs="Times New Roman"/>
      <w:bCs/>
      <w:kern w:val="44"/>
      <w:sz w:val="22"/>
      <w:szCs w:val="44"/>
    </w:rPr>
  </w:style>
  <w:style w:type="character" w:customStyle="1" w:styleId="20">
    <w:name w:val="标题 2 字符"/>
    <w:basedOn w:val="a0"/>
    <w:link w:val="2"/>
    <w:uiPriority w:val="9"/>
    <w:qFormat/>
    <w:rPr>
      <w:rFonts w:ascii="Cambria" w:eastAsia="楷体" w:hAnsi="Cambria" w:cs="Times New Roman"/>
      <w:b/>
      <w:bCs/>
      <w:sz w:val="22"/>
      <w:szCs w:val="32"/>
    </w:rPr>
  </w:style>
  <w:style w:type="paragraph" w:styleId="af0">
    <w:name w:val="List Paragraph"/>
    <w:basedOn w:val="a"/>
    <w:uiPriority w:val="34"/>
    <w:qFormat/>
    <w:pPr>
      <w:ind w:firstLineChars="200" w:firstLine="420"/>
    </w:pPr>
  </w:style>
  <w:style w:type="table" w:customStyle="1" w:styleId="4">
    <w:name w:val="网格型4"/>
    <w:basedOn w:val="a1"/>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宋体" w:hAnsi="Times New Roman" w:cs="Times New Roman"/>
      <w:kern w:val="2"/>
      <w:sz w:val="21"/>
      <w:szCs w:val="24"/>
    </w:rPr>
  </w:style>
  <w:style w:type="character" w:customStyle="1" w:styleId="30">
    <w:name w:val="标题 3 字符"/>
    <w:basedOn w:val="a0"/>
    <w:link w:val="3"/>
    <w:uiPriority w:val="9"/>
    <w:semiHidden/>
    <w:qFormat/>
    <w:rPr>
      <w:rFonts w:ascii="Times New Roman" w:eastAsia="宋体" w:hAnsi="Times New Roman" w:cs="Times New Roman"/>
      <w:b/>
      <w:bCs/>
      <w:kern w:val="2"/>
      <w:sz w:val="32"/>
      <w:szCs w:val="32"/>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table" w:customStyle="1" w:styleId="12">
    <w:name w:val="网格型1"/>
    <w:basedOn w:val="a1"/>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4"/>
    </w:rPr>
  </w:style>
  <w:style w:type="character" w:customStyle="1" w:styleId="ac">
    <w:name w:val="批注主题 字符"/>
    <w:basedOn w:val="a4"/>
    <w:link w:val="ab"/>
    <w:uiPriority w:val="99"/>
    <w:semiHidden/>
    <w:qFormat/>
    <w:rPr>
      <w:rFonts w:ascii="Times New Roman" w:eastAsia="宋体" w:hAnsi="Times New Roman" w:cs="Times New Roman"/>
      <w:b/>
      <w:bCs/>
      <w:kern w:val="2"/>
      <w:sz w:val="21"/>
      <w:szCs w:val="24"/>
    </w:rPr>
  </w:style>
  <w:style w:type="paragraph" w:customStyle="1" w:styleId="21">
    <w:name w:val="修订2"/>
    <w:hidden/>
    <w:uiPriority w:val="99"/>
    <w:semiHidden/>
    <w:qFormat/>
    <w:rPr>
      <w:rFonts w:ascii="Times New Roman" w:eastAsia="宋体" w:hAnsi="Times New Roman" w:cs="Times New Roman"/>
      <w:kern w:val="2"/>
      <w:sz w:val="21"/>
      <w:szCs w:val="24"/>
    </w:rPr>
  </w:style>
  <w:style w:type="paragraph" w:customStyle="1" w:styleId="af1">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1"/>
    <w:qFormat/>
    <w:rPr>
      <w:rFonts w:ascii="宋体" w:eastAsia="宋体" w:hAnsi="Times New Roman" w:cs="Times New Roman"/>
      <w:sz w:val="21"/>
    </w:rPr>
  </w:style>
  <w:style w:type="table" w:customStyle="1" w:styleId="22">
    <w:name w:val="网格型2"/>
    <w:basedOn w:val="a1"/>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网格型3"/>
    <w:basedOn w:val="a1"/>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标题 5 字符"/>
    <w:basedOn w:val="a0"/>
    <w:link w:val="5"/>
    <w:uiPriority w:val="9"/>
    <w:qFormat/>
    <w:rPr>
      <w:rFonts w:ascii="Times New Roman" w:eastAsia="宋体" w:hAnsi="Times New Roman" w:cs="Times New Roman"/>
      <w:b/>
      <w:bCs/>
      <w:kern w:val="2"/>
      <w:sz w:val="28"/>
      <w:szCs w:val="28"/>
    </w:rPr>
  </w:style>
  <w:style w:type="paragraph" w:customStyle="1" w:styleId="af2">
    <w:name w:val="二级条标题"/>
    <w:basedOn w:val="af3"/>
    <w:next w:val="af1"/>
    <w:qFormat/>
    <w:pPr>
      <w:spacing w:beforeLines="50" w:afterLines="50"/>
    </w:pPr>
    <w:rPr>
      <w:rFonts w:ascii="Times New Roman"/>
    </w:rPr>
  </w:style>
  <w:style w:type="paragraph" w:customStyle="1" w:styleId="af3">
    <w:name w:val="标准文件_二级条标题"/>
    <w:next w:val="af4"/>
    <w:uiPriority w:val="99"/>
    <w:qFormat/>
    <w:pPr>
      <w:widowControl w:val="0"/>
      <w:jc w:val="both"/>
      <w:outlineLvl w:val="2"/>
    </w:pPr>
    <w:rPr>
      <w:rFonts w:ascii="黑体" w:eastAsia="黑体" w:hAnsi="Times New Roman" w:cs="黑体"/>
      <w:sz w:val="21"/>
      <w:szCs w:val="21"/>
    </w:rPr>
  </w:style>
  <w:style w:type="paragraph" w:customStyle="1" w:styleId="af4">
    <w:name w:val="标准文件_段"/>
    <w:uiPriority w:val="99"/>
    <w:qFormat/>
    <w:pPr>
      <w:widowControl w:val="0"/>
      <w:ind w:firstLineChars="200" w:firstLine="198"/>
      <w:jc w:val="both"/>
    </w:pPr>
    <w:rPr>
      <w:rFonts w:ascii="宋体" w:eastAsia="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DF97-467C-4824-9294-49F75443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1971</Words>
  <Characters>2051</Characters>
  <Application>Microsoft Office Word</Application>
  <DocSecurity>0</DocSecurity>
  <Lines>82</Lines>
  <Paragraphs>69</Paragraphs>
  <ScaleCrop>false</ScaleCrop>
  <Company>Microsoft</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张朝明</dc:creator>
  <cp:lastModifiedBy>赵 丹</cp:lastModifiedBy>
  <cp:revision>16</cp:revision>
  <dcterms:created xsi:type="dcterms:W3CDTF">2024-04-11T15:42:00Z</dcterms:created>
  <dcterms:modified xsi:type="dcterms:W3CDTF">2025-05-16T01:14:00Z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79F3A57FB4EB4C4198FFA74DD311EBD3_13</vt:lpwstr>
  </property>
  <property fmtid="{D5CDD505-2E9C-101B-9397-08002B2CF9AE}" pid="4" name="KSOTemplateDocerSaveRecord">
    <vt:lpwstr>eyJoZGlkIjoiZjdkNGY1NjA1MmUxZDI3Nzc5ODI1YzY3ZDM0NTAxMzgiLCJ1c2VySWQiOiI0MzUxOTUzNDUifQ==</vt:lpwstr>
  </property>
</Properties>
</file>